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FCE76" w14:textId="77777777" w:rsidR="003E55D5" w:rsidRPr="00C40211" w:rsidRDefault="003E55D5" w:rsidP="003E55D5">
      <w:pPr>
        <w:rPr>
          <w:rFonts w:ascii="Arial" w:hAnsi="Arial" w:cs="Arial"/>
        </w:rPr>
      </w:pPr>
      <w:r>
        <w:rPr>
          <w:rFonts w:ascii="Arial" w:eastAsiaTheme="majorEastAsia" w:hAnsi="Arial" w:cs="Arial"/>
          <w:spacing w:val="-10"/>
          <w:kern w:val="28"/>
          <w:sz w:val="56"/>
          <w:szCs w:val="56"/>
        </w:rPr>
        <w:t>Teaching Support Roles</w:t>
      </w:r>
      <w:r w:rsidRPr="00C40211">
        <w:rPr>
          <w:rFonts w:ascii="Arial" w:eastAsiaTheme="majorEastAsia" w:hAnsi="Arial" w:cs="Arial"/>
          <w:spacing w:val="-10"/>
          <w:kern w:val="28"/>
          <w:sz w:val="56"/>
          <w:szCs w:val="56"/>
        </w:rPr>
        <w:t xml:space="preserve"> (</w:t>
      </w:r>
      <w:r>
        <w:rPr>
          <w:rFonts w:ascii="Arial" w:eastAsiaTheme="majorEastAsia" w:hAnsi="Arial" w:cs="Arial"/>
          <w:spacing w:val="-10"/>
          <w:kern w:val="28"/>
          <w:sz w:val="56"/>
          <w:szCs w:val="56"/>
        </w:rPr>
        <w:t>TSR</w:t>
      </w:r>
      <w:r w:rsidRPr="00C40211">
        <w:rPr>
          <w:rFonts w:ascii="Arial" w:eastAsiaTheme="majorEastAsia" w:hAnsi="Arial" w:cs="Arial"/>
          <w:spacing w:val="-10"/>
          <w:kern w:val="28"/>
          <w:sz w:val="56"/>
          <w:szCs w:val="56"/>
        </w:rPr>
        <w:t>s)</w:t>
      </w:r>
    </w:p>
    <w:p w14:paraId="77106D8A" w14:textId="7B5777DA" w:rsidR="003E55D5" w:rsidRPr="00C40211" w:rsidRDefault="003E55D5" w:rsidP="003E55D5">
      <w:pPr>
        <w:rPr>
          <w:rFonts w:ascii="Arial" w:eastAsiaTheme="majorEastAsia" w:hAnsi="Arial" w:cs="Arial"/>
          <w:b/>
          <w:iCs/>
          <w:color w:val="44546A" w:themeColor="text2"/>
          <w:spacing w:val="15"/>
          <w:sz w:val="32"/>
          <w:szCs w:val="24"/>
        </w:rPr>
      </w:pPr>
      <w:r>
        <w:rPr>
          <w:rFonts w:ascii="Arial" w:eastAsiaTheme="majorEastAsia" w:hAnsi="Arial" w:cs="Arial"/>
          <w:b/>
          <w:iCs/>
          <w:color w:val="44546A" w:themeColor="text2"/>
          <w:spacing w:val="15"/>
          <w:sz w:val="32"/>
          <w:szCs w:val="24"/>
        </w:rPr>
        <w:t>Guide for School Managers</w:t>
      </w:r>
      <w:r w:rsidR="00DB2737">
        <w:rPr>
          <w:rFonts w:ascii="Arial" w:eastAsiaTheme="majorEastAsia" w:hAnsi="Arial" w:cs="Arial"/>
          <w:b/>
          <w:iCs/>
          <w:color w:val="44546A" w:themeColor="text2"/>
          <w:spacing w:val="15"/>
          <w:sz w:val="32"/>
          <w:szCs w:val="24"/>
        </w:rPr>
        <w:t>/Teaching or Unit Directors</w:t>
      </w:r>
      <w:r w:rsidR="008D4604">
        <w:rPr>
          <w:rFonts w:ascii="Arial" w:eastAsiaTheme="majorEastAsia" w:hAnsi="Arial" w:cs="Arial"/>
          <w:b/>
          <w:iCs/>
          <w:color w:val="44546A" w:themeColor="text2"/>
          <w:spacing w:val="15"/>
          <w:sz w:val="32"/>
          <w:szCs w:val="24"/>
        </w:rPr>
        <w:t xml:space="preserve"> </w:t>
      </w:r>
    </w:p>
    <w:p w14:paraId="4C473DD2" w14:textId="77777777" w:rsidR="003E55D5" w:rsidRPr="00C40211" w:rsidRDefault="003E55D5" w:rsidP="003E55D5">
      <w:pPr>
        <w:ind w:firstLine="2495"/>
        <w:rPr>
          <w:rFonts w:ascii="Arial" w:hAnsi="Arial" w:cs="Arial"/>
          <w:sz w:val="28"/>
        </w:rPr>
      </w:pPr>
      <w:r w:rsidRPr="00C40211">
        <w:rPr>
          <w:rFonts w:ascii="Arial" w:hAnsi="Arial" w:cs="Arial"/>
          <w:sz w:val="28"/>
        </w:rPr>
        <w:t>User Guide</w:t>
      </w:r>
    </w:p>
    <w:p w14:paraId="641B7056" w14:textId="77777777" w:rsidR="003E55D5" w:rsidRDefault="003E55D5" w:rsidP="003E55D5">
      <w:pPr>
        <w:spacing w:before="0" w:after="160"/>
      </w:pPr>
    </w:p>
    <w:p w14:paraId="0BB18549" w14:textId="77777777" w:rsidR="003E55D5" w:rsidRDefault="003E55D5" w:rsidP="003E55D5">
      <w:pPr>
        <w:spacing w:before="0" w:after="160"/>
      </w:pPr>
    </w:p>
    <w:p w14:paraId="34530688" w14:textId="77777777" w:rsidR="003E55D5" w:rsidRDefault="003E55D5" w:rsidP="003E55D5">
      <w:pPr>
        <w:spacing w:before="0" w:after="160"/>
      </w:pPr>
    </w:p>
    <w:p w14:paraId="702E4E0B" w14:textId="77777777" w:rsidR="003E55D5" w:rsidRDefault="003E55D5" w:rsidP="003E55D5">
      <w:pPr>
        <w:spacing w:before="0" w:after="160"/>
      </w:pPr>
    </w:p>
    <w:p w14:paraId="3B74F681" w14:textId="77777777" w:rsidR="003E55D5" w:rsidRDefault="003E55D5" w:rsidP="003E55D5">
      <w:pPr>
        <w:spacing w:before="0" w:after="160"/>
      </w:pPr>
    </w:p>
    <w:p w14:paraId="11218C1B" w14:textId="77777777" w:rsidR="003E55D5" w:rsidRDefault="003E55D5" w:rsidP="003E55D5">
      <w:pPr>
        <w:spacing w:before="0" w:after="160"/>
      </w:pPr>
    </w:p>
    <w:p w14:paraId="4F08A819" w14:textId="77777777" w:rsidR="003E55D5" w:rsidRDefault="003E55D5" w:rsidP="003E55D5">
      <w:pPr>
        <w:spacing w:before="0" w:after="160"/>
      </w:pPr>
    </w:p>
    <w:p w14:paraId="1A259B14" w14:textId="77777777" w:rsidR="003E55D5" w:rsidRDefault="003E55D5" w:rsidP="003E55D5">
      <w:pPr>
        <w:spacing w:before="0" w:after="160"/>
      </w:pPr>
    </w:p>
    <w:p w14:paraId="2FBB197F" w14:textId="77777777" w:rsidR="003E55D5" w:rsidRDefault="003E55D5" w:rsidP="003E55D5">
      <w:pPr>
        <w:spacing w:before="0" w:after="160"/>
      </w:pPr>
    </w:p>
    <w:p w14:paraId="37CDDEB3" w14:textId="77777777" w:rsidR="003E55D5" w:rsidRDefault="003E55D5" w:rsidP="003E55D5">
      <w:pPr>
        <w:spacing w:before="0" w:after="160"/>
      </w:pPr>
    </w:p>
    <w:p w14:paraId="6FE55064" w14:textId="77777777" w:rsidR="003E55D5" w:rsidRDefault="003E55D5" w:rsidP="003E55D5">
      <w:pPr>
        <w:spacing w:before="0" w:after="160"/>
      </w:pPr>
    </w:p>
    <w:p w14:paraId="4B4A0496" w14:textId="77777777" w:rsidR="003E55D5" w:rsidRDefault="003E55D5" w:rsidP="003E55D5">
      <w:pPr>
        <w:spacing w:before="0" w:after="160"/>
      </w:pPr>
    </w:p>
    <w:p w14:paraId="719EDCDC" w14:textId="77777777" w:rsidR="003E55D5" w:rsidRDefault="003E55D5" w:rsidP="003E55D5">
      <w:pPr>
        <w:spacing w:before="0" w:after="160"/>
      </w:pPr>
    </w:p>
    <w:p w14:paraId="768BD31D" w14:textId="77777777" w:rsidR="003E55D5" w:rsidRDefault="003E55D5" w:rsidP="003E55D5">
      <w:pPr>
        <w:spacing w:before="0" w:after="160"/>
      </w:pPr>
    </w:p>
    <w:p w14:paraId="6D2EEEA7" w14:textId="77777777" w:rsidR="003E55D5" w:rsidRDefault="003E55D5" w:rsidP="003E55D5">
      <w:pPr>
        <w:spacing w:before="0" w:after="160"/>
      </w:pPr>
    </w:p>
    <w:p w14:paraId="3C8664E5" w14:textId="77777777" w:rsidR="003E55D5" w:rsidRDefault="003E55D5" w:rsidP="003E55D5">
      <w:pPr>
        <w:spacing w:before="0" w:after="160"/>
      </w:pPr>
    </w:p>
    <w:p w14:paraId="0AD97225" w14:textId="77777777" w:rsidR="003E55D5" w:rsidRDefault="003E55D5" w:rsidP="003E55D5">
      <w:pPr>
        <w:spacing w:before="0" w:after="160"/>
      </w:pPr>
    </w:p>
    <w:p w14:paraId="52FCBDD2" w14:textId="77777777" w:rsidR="003E55D5" w:rsidRDefault="003E55D5" w:rsidP="003E55D5">
      <w:pPr>
        <w:spacing w:before="0" w:after="160"/>
      </w:pPr>
    </w:p>
    <w:p w14:paraId="450B0CF6" w14:textId="77777777" w:rsidR="003E55D5" w:rsidRDefault="003E55D5" w:rsidP="003E55D5">
      <w:pPr>
        <w:spacing w:before="0" w:after="160"/>
      </w:pPr>
    </w:p>
    <w:p w14:paraId="53FD13E1" w14:textId="77777777" w:rsidR="003E55D5" w:rsidRDefault="003E55D5" w:rsidP="003E55D5">
      <w:pPr>
        <w:spacing w:before="0" w:after="160"/>
      </w:pPr>
    </w:p>
    <w:p w14:paraId="2EF088C3" w14:textId="77777777" w:rsidR="003E55D5" w:rsidRDefault="003E55D5" w:rsidP="003E55D5">
      <w:pPr>
        <w:spacing w:before="0" w:after="160"/>
      </w:pPr>
    </w:p>
    <w:p w14:paraId="5CBB7B80" w14:textId="77777777" w:rsidR="003E55D5" w:rsidRDefault="003E55D5" w:rsidP="003E55D5">
      <w:pPr>
        <w:spacing w:before="0" w:after="160"/>
      </w:pPr>
    </w:p>
    <w:p w14:paraId="1F7DD576" w14:textId="77777777" w:rsidR="003E55D5" w:rsidRDefault="003E55D5" w:rsidP="003E55D5">
      <w:pPr>
        <w:spacing w:before="0" w:after="160"/>
        <w:rPr>
          <w:rFonts w:eastAsiaTheme="majorEastAsia" w:cstheme="majorBidi"/>
          <w:b/>
          <w:color w:val="FFFFFF" w:themeColor="background1"/>
          <w:sz w:val="40"/>
          <w:szCs w:val="32"/>
        </w:rPr>
      </w:pPr>
      <w:r>
        <w:br w:type="page"/>
      </w:r>
    </w:p>
    <w:sdt>
      <w:sdtPr>
        <w:id w:val="-1143888611"/>
        <w:docPartObj>
          <w:docPartGallery w:val="Table of Contents"/>
          <w:docPartUnique/>
        </w:docPartObj>
      </w:sdtPr>
      <w:sdtEndPr>
        <w:rPr>
          <w:b/>
          <w:bCs/>
          <w:noProof/>
        </w:rPr>
      </w:sdtEndPr>
      <w:sdtContent>
        <w:p w14:paraId="3972E24A" w14:textId="77777777" w:rsidR="003E55D5" w:rsidRDefault="003E55D5" w:rsidP="003E55D5">
          <w:pPr>
            <w:pStyle w:val="TOC2"/>
          </w:pPr>
          <w:r>
            <w:t>Contents</w:t>
          </w:r>
        </w:p>
        <w:p w14:paraId="7FBF6956" w14:textId="7B63D51F" w:rsidR="004B7EF0" w:rsidRDefault="003E55D5">
          <w:pPr>
            <w:pStyle w:val="TOC1"/>
            <w:tabs>
              <w:tab w:val="right" w:leader="dot" w:pos="9016"/>
            </w:tabs>
            <w:rPr>
              <w:rFonts w:asciiTheme="minorHAnsi" w:eastAsiaTheme="minorEastAsia" w:hAnsiTheme="minorHAnsi"/>
              <w:noProof/>
              <w:kern w:val="2"/>
              <w:szCs w:val="24"/>
              <w:lang w:eastAsia="en-GB"/>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7982914" w:history="1">
            <w:r w:rsidR="004B7EF0" w:rsidRPr="00CF7076">
              <w:rPr>
                <w:rStyle w:val="Hyperlink"/>
                <w:noProof/>
              </w:rPr>
              <w:t>1 | TSR Process Overview</w:t>
            </w:r>
            <w:r w:rsidR="004B7EF0">
              <w:rPr>
                <w:noProof/>
                <w:webHidden/>
              </w:rPr>
              <w:tab/>
            </w:r>
            <w:r w:rsidR="004B7EF0">
              <w:rPr>
                <w:noProof/>
                <w:webHidden/>
              </w:rPr>
              <w:fldChar w:fldCharType="begin"/>
            </w:r>
            <w:r w:rsidR="004B7EF0">
              <w:rPr>
                <w:noProof/>
                <w:webHidden/>
              </w:rPr>
              <w:instrText xml:space="preserve"> PAGEREF _Toc177982914 \h </w:instrText>
            </w:r>
            <w:r w:rsidR="004B7EF0">
              <w:rPr>
                <w:noProof/>
                <w:webHidden/>
              </w:rPr>
            </w:r>
            <w:r w:rsidR="004B7EF0">
              <w:rPr>
                <w:noProof/>
                <w:webHidden/>
              </w:rPr>
              <w:fldChar w:fldCharType="separate"/>
            </w:r>
            <w:r w:rsidR="004B7EF0">
              <w:rPr>
                <w:noProof/>
                <w:webHidden/>
              </w:rPr>
              <w:t>3</w:t>
            </w:r>
            <w:r w:rsidR="004B7EF0">
              <w:rPr>
                <w:noProof/>
                <w:webHidden/>
              </w:rPr>
              <w:fldChar w:fldCharType="end"/>
            </w:r>
          </w:hyperlink>
        </w:p>
        <w:p w14:paraId="6D38FDF4" w14:textId="652040E7"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15" w:history="1">
            <w:r w:rsidR="004B7EF0" w:rsidRPr="00CF7076">
              <w:rPr>
                <w:rStyle w:val="Hyperlink"/>
                <w:noProof/>
              </w:rPr>
              <w:t>1.1 | TSR Definition</w:t>
            </w:r>
            <w:r w:rsidR="004B7EF0">
              <w:rPr>
                <w:noProof/>
                <w:webHidden/>
              </w:rPr>
              <w:tab/>
            </w:r>
            <w:r w:rsidR="004B7EF0">
              <w:rPr>
                <w:noProof/>
                <w:webHidden/>
              </w:rPr>
              <w:fldChar w:fldCharType="begin"/>
            </w:r>
            <w:r w:rsidR="004B7EF0">
              <w:rPr>
                <w:noProof/>
                <w:webHidden/>
              </w:rPr>
              <w:instrText xml:space="preserve"> PAGEREF _Toc177982915 \h </w:instrText>
            </w:r>
            <w:r w:rsidR="004B7EF0">
              <w:rPr>
                <w:noProof/>
                <w:webHidden/>
              </w:rPr>
            </w:r>
            <w:r w:rsidR="004B7EF0">
              <w:rPr>
                <w:noProof/>
                <w:webHidden/>
              </w:rPr>
              <w:fldChar w:fldCharType="separate"/>
            </w:r>
            <w:r w:rsidR="004B7EF0">
              <w:rPr>
                <w:noProof/>
                <w:webHidden/>
              </w:rPr>
              <w:t>3</w:t>
            </w:r>
            <w:r w:rsidR="004B7EF0">
              <w:rPr>
                <w:noProof/>
                <w:webHidden/>
              </w:rPr>
              <w:fldChar w:fldCharType="end"/>
            </w:r>
          </w:hyperlink>
        </w:p>
        <w:p w14:paraId="3E736144" w14:textId="6E3D1E79"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16" w:history="1">
            <w:r w:rsidR="004B7EF0" w:rsidRPr="00CF7076">
              <w:rPr>
                <w:rStyle w:val="Hyperlink"/>
                <w:noProof/>
              </w:rPr>
              <w:t>1.2 | Roles and Pay</w:t>
            </w:r>
            <w:r w:rsidR="004B7EF0">
              <w:rPr>
                <w:noProof/>
                <w:webHidden/>
              </w:rPr>
              <w:tab/>
            </w:r>
            <w:r w:rsidR="004B7EF0">
              <w:rPr>
                <w:noProof/>
                <w:webHidden/>
              </w:rPr>
              <w:fldChar w:fldCharType="begin"/>
            </w:r>
            <w:r w:rsidR="004B7EF0">
              <w:rPr>
                <w:noProof/>
                <w:webHidden/>
              </w:rPr>
              <w:instrText xml:space="preserve"> PAGEREF _Toc177982916 \h </w:instrText>
            </w:r>
            <w:r w:rsidR="004B7EF0">
              <w:rPr>
                <w:noProof/>
                <w:webHidden/>
              </w:rPr>
            </w:r>
            <w:r w:rsidR="004B7EF0">
              <w:rPr>
                <w:noProof/>
                <w:webHidden/>
              </w:rPr>
              <w:fldChar w:fldCharType="separate"/>
            </w:r>
            <w:r w:rsidR="004B7EF0">
              <w:rPr>
                <w:noProof/>
                <w:webHidden/>
              </w:rPr>
              <w:t>3</w:t>
            </w:r>
            <w:r w:rsidR="004B7EF0">
              <w:rPr>
                <w:noProof/>
                <w:webHidden/>
              </w:rPr>
              <w:fldChar w:fldCharType="end"/>
            </w:r>
          </w:hyperlink>
        </w:p>
        <w:p w14:paraId="6B674FA2" w14:textId="6C20B82F"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17" w:history="1">
            <w:r w:rsidR="004B7EF0" w:rsidRPr="00CF7076">
              <w:rPr>
                <w:rStyle w:val="Hyperlink"/>
                <w:noProof/>
              </w:rPr>
              <w:t>1.3 | Terms &amp; Conditions</w:t>
            </w:r>
            <w:r w:rsidR="004B7EF0">
              <w:rPr>
                <w:noProof/>
                <w:webHidden/>
              </w:rPr>
              <w:tab/>
            </w:r>
            <w:r w:rsidR="004B7EF0">
              <w:rPr>
                <w:noProof/>
                <w:webHidden/>
              </w:rPr>
              <w:fldChar w:fldCharType="begin"/>
            </w:r>
            <w:r w:rsidR="004B7EF0">
              <w:rPr>
                <w:noProof/>
                <w:webHidden/>
              </w:rPr>
              <w:instrText xml:space="preserve"> PAGEREF _Toc177982917 \h </w:instrText>
            </w:r>
            <w:r w:rsidR="004B7EF0">
              <w:rPr>
                <w:noProof/>
                <w:webHidden/>
              </w:rPr>
            </w:r>
            <w:r w:rsidR="004B7EF0">
              <w:rPr>
                <w:noProof/>
                <w:webHidden/>
              </w:rPr>
              <w:fldChar w:fldCharType="separate"/>
            </w:r>
            <w:r w:rsidR="004B7EF0">
              <w:rPr>
                <w:noProof/>
                <w:webHidden/>
              </w:rPr>
              <w:t>4</w:t>
            </w:r>
            <w:r w:rsidR="004B7EF0">
              <w:rPr>
                <w:noProof/>
                <w:webHidden/>
              </w:rPr>
              <w:fldChar w:fldCharType="end"/>
            </w:r>
          </w:hyperlink>
        </w:p>
        <w:p w14:paraId="7566E333" w14:textId="068284B5"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18" w:history="1">
            <w:r w:rsidR="004B7EF0" w:rsidRPr="00CF7076">
              <w:rPr>
                <w:rStyle w:val="Hyperlink"/>
                <w:noProof/>
              </w:rPr>
              <w:t>2 | Recruitment &amp; Appointment of TSRs</w:t>
            </w:r>
            <w:r w:rsidR="004B7EF0">
              <w:rPr>
                <w:noProof/>
                <w:webHidden/>
              </w:rPr>
              <w:tab/>
            </w:r>
            <w:r w:rsidR="004B7EF0">
              <w:rPr>
                <w:noProof/>
                <w:webHidden/>
              </w:rPr>
              <w:fldChar w:fldCharType="begin"/>
            </w:r>
            <w:r w:rsidR="004B7EF0">
              <w:rPr>
                <w:noProof/>
                <w:webHidden/>
              </w:rPr>
              <w:instrText xml:space="preserve"> PAGEREF _Toc177982918 \h </w:instrText>
            </w:r>
            <w:r w:rsidR="004B7EF0">
              <w:rPr>
                <w:noProof/>
                <w:webHidden/>
              </w:rPr>
            </w:r>
            <w:r w:rsidR="004B7EF0">
              <w:rPr>
                <w:noProof/>
                <w:webHidden/>
              </w:rPr>
              <w:fldChar w:fldCharType="separate"/>
            </w:r>
            <w:r w:rsidR="004B7EF0">
              <w:rPr>
                <w:noProof/>
                <w:webHidden/>
              </w:rPr>
              <w:t>5</w:t>
            </w:r>
            <w:r w:rsidR="004B7EF0">
              <w:rPr>
                <w:noProof/>
                <w:webHidden/>
              </w:rPr>
              <w:fldChar w:fldCharType="end"/>
            </w:r>
          </w:hyperlink>
        </w:p>
        <w:p w14:paraId="0727045B" w14:textId="57D95F44"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19" w:history="1">
            <w:r w:rsidR="004B7EF0" w:rsidRPr="00CF7076">
              <w:rPr>
                <w:rStyle w:val="Hyperlink"/>
                <w:noProof/>
              </w:rPr>
              <w:t>2.1 | Identification of TSR Requirements &amp; Recruitment of TSRs</w:t>
            </w:r>
            <w:r w:rsidR="004B7EF0">
              <w:rPr>
                <w:noProof/>
                <w:webHidden/>
              </w:rPr>
              <w:tab/>
            </w:r>
            <w:r w:rsidR="004B7EF0">
              <w:rPr>
                <w:noProof/>
                <w:webHidden/>
              </w:rPr>
              <w:fldChar w:fldCharType="begin"/>
            </w:r>
            <w:r w:rsidR="004B7EF0">
              <w:rPr>
                <w:noProof/>
                <w:webHidden/>
              </w:rPr>
              <w:instrText xml:space="preserve"> PAGEREF _Toc177982919 \h </w:instrText>
            </w:r>
            <w:r w:rsidR="004B7EF0">
              <w:rPr>
                <w:noProof/>
                <w:webHidden/>
              </w:rPr>
            </w:r>
            <w:r w:rsidR="004B7EF0">
              <w:rPr>
                <w:noProof/>
                <w:webHidden/>
              </w:rPr>
              <w:fldChar w:fldCharType="separate"/>
            </w:r>
            <w:r w:rsidR="004B7EF0">
              <w:rPr>
                <w:noProof/>
                <w:webHidden/>
              </w:rPr>
              <w:t>5</w:t>
            </w:r>
            <w:r w:rsidR="004B7EF0">
              <w:rPr>
                <w:noProof/>
                <w:webHidden/>
              </w:rPr>
              <w:fldChar w:fldCharType="end"/>
            </w:r>
          </w:hyperlink>
        </w:p>
        <w:p w14:paraId="7EDECF07" w14:textId="70F59748"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0" w:history="1">
            <w:r w:rsidR="004B7EF0" w:rsidRPr="00CF7076">
              <w:rPr>
                <w:rStyle w:val="Hyperlink"/>
                <w:noProof/>
              </w:rPr>
              <w:t>2.2 | TSR Annual Review Process &amp; Contract Requirements</w:t>
            </w:r>
            <w:r w:rsidR="004B7EF0">
              <w:rPr>
                <w:noProof/>
                <w:webHidden/>
              </w:rPr>
              <w:tab/>
            </w:r>
            <w:r w:rsidR="004B7EF0">
              <w:rPr>
                <w:noProof/>
                <w:webHidden/>
              </w:rPr>
              <w:fldChar w:fldCharType="begin"/>
            </w:r>
            <w:r w:rsidR="004B7EF0">
              <w:rPr>
                <w:noProof/>
                <w:webHidden/>
              </w:rPr>
              <w:instrText xml:space="preserve"> PAGEREF _Toc177982920 \h </w:instrText>
            </w:r>
            <w:r w:rsidR="004B7EF0">
              <w:rPr>
                <w:noProof/>
                <w:webHidden/>
              </w:rPr>
            </w:r>
            <w:r w:rsidR="004B7EF0">
              <w:rPr>
                <w:noProof/>
                <w:webHidden/>
              </w:rPr>
              <w:fldChar w:fldCharType="separate"/>
            </w:r>
            <w:r w:rsidR="004B7EF0">
              <w:rPr>
                <w:noProof/>
                <w:webHidden/>
              </w:rPr>
              <w:t>6</w:t>
            </w:r>
            <w:r w:rsidR="004B7EF0">
              <w:rPr>
                <w:noProof/>
                <w:webHidden/>
              </w:rPr>
              <w:fldChar w:fldCharType="end"/>
            </w:r>
          </w:hyperlink>
        </w:p>
        <w:p w14:paraId="44B933AF" w14:textId="2473EF3F"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21" w:history="1">
            <w:r w:rsidR="004B7EF0" w:rsidRPr="00CF7076">
              <w:rPr>
                <w:rStyle w:val="Hyperlink"/>
                <w:noProof/>
                <w14:scene3d>
                  <w14:camera w14:prst="orthographicFront"/>
                  <w14:lightRig w14:rig="threePt" w14:dir="t">
                    <w14:rot w14:lat="0" w14:lon="0" w14:rev="0"/>
                  </w14:lightRig>
                </w14:scene3d>
              </w:rPr>
              <w:t>2.2.1 |</w:t>
            </w:r>
            <w:r w:rsidR="004B7EF0" w:rsidRPr="00CF7076">
              <w:rPr>
                <w:rStyle w:val="Hyperlink"/>
                <w:noProof/>
              </w:rPr>
              <w:t xml:space="preserve"> Populating the TSR Toolkit</w:t>
            </w:r>
            <w:r w:rsidR="004B7EF0">
              <w:rPr>
                <w:noProof/>
                <w:webHidden/>
              </w:rPr>
              <w:tab/>
            </w:r>
            <w:r w:rsidR="004B7EF0">
              <w:rPr>
                <w:noProof/>
                <w:webHidden/>
              </w:rPr>
              <w:fldChar w:fldCharType="begin"/>
            </w:r>
            <w:r w:rsidR="004B7EF0">
              <w:rPr>
                <w:noProof/>
                <w:webHidden/>
              </w:rPr>
              <w:instrText xml:space="preserve"> PAGEREF _Toc177982921 \h </w:instrText>
            </w:r>
            <w:r w:rsidR="004B7EF0">
              <w:rPr>
                <w:noProof/>
                <w:webHidden/>
              </w:rPr>
            </w:r>
            <w:r w:rsidR="004B7EF0">
              <w:rPr>
                <w:noProof/>
                <w:webHidden/>
              </w:rPr>
              <w:fldChar w:fldCharType="separate"/>
            </w:r>
            <w:r w:rsidR="004B7EF0">
              <w:rPr>
                <w:noProof/>
                <w:webHidden/>
              </w:rPr>
              <w:t>6</w:t>
            </w:r>
            <w:r w:rsidR="004B7EF0">
              <w:rPr>
                <w:noProof/>
                <w:webHidden/>
              </w:rPr>
              <w:fldChar w:fldCharType="end"/>
            </w:r>
          </w:hyperlink>
        </w:p>
        <w:p w14:paraId="10008908" w14:textId="48723F47"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22" w:history="1">
            <w:r w:rsidR="004B7EF0" w:rsidRPr="00CF7076">
              <w:rPr>
                <w:rStyle w:val="Hyperlink"/>
                <w:noProof/>
                <w14:scene3d>
                  <w14:camera w14:prst="orthographicFront"/>
                  <w14:lightRig w14:rig="threePt" w14:dir="t">
                    <w14:rot w14:lat="0" w14:lon="0" w14:rev="0"/>
                  </w14:lightRig>
                </w14:scene3d>
              </w:rPr>
              <w:t>2.2.2 |</w:t>
            </w:r>
            <w:r w:rsidR="004B7EF0" w:rsidRPr="00CF7076">
              <w:rPr>
                <w:rStyle w:val="Hyperlink"/>
                <w:noProof/>
              </w:rPr>
              <w:t xml:space="preserve"> Issuing Contracts &amp; Setting up on MyERP</w:t>
            </w:r>
            <w:r w:rsidR="004B7EF0">
              <w:rPr>
                <w:noProof/>
                <w:webHidden/>
              </w:rPr>
              <w:tab/>
            </w:r>
            <w:r w:rsidR="004B7EF0">
              <w:rPr>
                <w:noProof/>
                <w:webHidden/>
              </w:rPr>
              <w:fldChar w:fldCharType="begin"/>
            </w:r>
            <w:r w:rsidR="004B7EF0">
              <w:rPr>
                <w:noProof/>
                <w:webHidden/>
              </w:rPr>
              <w:instrText xml:space="preserve"> PAGEREF _Toc177982922 \h </w:instrText>
            </w:r>
            <w:r w:rsidR="004B7EF0">
              <w:rPr>
                <w:noProof/>
                <w:webHidden/>
              </w:rPr>
            </w:r>
            <w:r w:rsidR="004B7EF0">
              <w:rPr>
                <w:noProof/>
                <w:webHidden/>
              </w:rPr>
              <w:fldChar w:fldCharType="separate"/>
            </w:r>
            <w:r w:rsidR="004B7EF0">
              <w:rPr>
                <w:noProof/>
                <w:webHidden/>
              </w:rPr>
              <w:t>7</w:t>
            </w:r>
            <w:r w:rsidR="004B7EF0">
              <w:rPr>
                <w:noProof/>
                <w:webHidden/>
              </w:rPr>
              <w:fldChar w:fldCharType="end"/>
            </w:r>
          </w:hyperlink>
        </w:p>
        <w:p w14:paraId="7F95C42E" w14:textId="24216FE8"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3" w:history="1">
            <w:r w:rsidR="004B7EF0" w:rsidRPr="00CF7076">
              <w:rPr>
                <w:rStyle w:val="Hyperlink"/>
                <w:noProof/>
              </w:rPr>
              <w:t>2.3 | Contracting Teaching Support Staff Outside of the Annual Review Process</w:t>
            </w:r>
            <w:r w:rsidR="004B7EF0">
              <w:rPr>
                <w:noProof/>
                <w:webHidden/>
              </w:rPr>
              <w:tab/>
            </w:r>
            <w:r w:rsidR="004B7EF0">
              <w:rPr>
                <w:noProof/>
                <w:webHidden/>
              </w:rPr>
              <w:fldChar w:fldCharType="begin"/>
            </w:r>
            <w:r w:rsidR="004B7EF0">
              <w:rPr>
                <w:noProof/>
                <w:webHidden/>
              </w:rPr>
              <w:instrText xml:space="preserve"> PAGEREF _Toc177982923 \h </w:instrText>
            </w:r>
            <w:r w:rsidR="004B7EF0">
              <w:rPr>
                <w:noProof/>
                <w:webHidden/>
              </w:rPr>
            </w:r>
            <w:r w:rsidR="004B7EF0">
              <w:rPr>
                <w:noProof/>
                <w:webHidden/>
              </w:rPr>
              <w:fldChar w:fldCharType="separate"/>
            </w:r>
            <w:r w:rsidR="004B7EF0">
              <w:rPr>
                <w:noProof/>
                <w:webHidden/>
              </w:rPr>
              <w:t>8</w:t>
            </w:r>
            <w:r w:rsidR="004B7EF0">
              <w:rPr>
                <w:noProof/>
                <w:webHidden/>
              </w:rPr>
              <w:fldChar w:fldCharType="end"/>
            </w:r>
          </w:hyperlink>
        </w:p>
        <w:p w14:paraId="2F941578" w14:textId="5A1A254E"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24" w:history="1">
            <w:r w:rsidR="004B7EF0" w:rsidRPr="00CF7076">
              <w:rPr>
                <w:rStyle w:val="Hyperlink"/>
                <w:noProof/>
              </w:rPr>
              <w:t>3 | Paying Teaching Support Staff</w:t>
            </w:r>
            <w:r w:rsidR="004B7EF0">
              <w:rPr>
                <w:noProof/>
                <w:webHidden/>
              </w:rPr>
              <w:tab/>
            </w:r>
            <w:r w:rsidR="004B7EF0">
              <w:rPr>
                <w:noProof/>
                <w:webHidden/>
              </w:rPr>
              <w:fldChar w:fldCharType="begin"/>
            </w:r>
            <w:r w:rsidR="004B7EF0">
              <w:rPr>
                <w:noProof/>
                <w:webHidden/>
              </w:rPr>
              <w:instrText xml:space="preserve"> PAGEREF _Toc177982924 \h </w:instrText>
            </w:r>
            <w:r w:rsidR="004B7EF0">
              <w:rPr>
                <w:noProof/>
                <w:webHidden/>
              </w:rPr>
            </w:r>
            <w:r w:rsidR="004B7EF0">
              <w:rPr>
                <w:noProof/>
                <w:webHidden/>
              </w:rPr>
              <w:fldChar w:fldCharType="separate"/>
            </w:r>
            <w:r w:rsidR="004B7EF0">
              <w:rPr>
                <w:noProof/>
                <w:webHidden/>
              </w:rPr>
              <w:t>9</w:t>
            </w:r>
            <w:r w:rsidR="004B7EF0">
              <w:rPr>
                <w:noProof/>
                <w:webHidden/>
              </w:rPr>
              <w:fldChar w:fldCharType="end"/>
            </w:r>
          </w:hyperlink>
        </w:p>
        <w:p w14:paraId="5F0860B4" w14:textId="47869BA1"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5" w:history="1">
            <w:r w:rsidR="004B7EF0" w:rsidRPr="00CF7076">
              <w:rPr>
                <w:rStyle w:val="Hyperlink"/>
                <w:noProof/>
              </w:rPr>
              <w:t>3.1 | TSR Monthly Claim Process</w:t>
            </w:r>
            <w:r w:rsidR="004B7EF0">
              <w:rPr>
                <w:noProof/>
                <w:webHidden/>
              </w:rPr>
              <w:tab/>
            </w:r>
            <w:r w:rsidR="004B7EF0">
              <w:rPr>
                <w:noProof/>
                <w:webHidden/>
              </w:rPr>
              <w:fldChar w:fldCharType="begin"/>
            </w:r>
            <w:r w:rsidR="004B7EF0">
              <w:rPr>
                <w:noProof/>
                <w:webHidden/>
              </w:rPr>
              <w:instrText xml:space="preserve"> PAGEREF _Toc177982925 \h </w:instrText>
            </w:r>
            <w:r w:rsidR="004B7EF0">
              <w:rPr>
                <w:noProof/>
                <w:webHidden/>
              </w:rPr>
            </w:r>
            <w:r w:rsidR="004B7EF0">
              <w:rPr>
                <w:noProof/>
                <w:webHidden/>
              </w:rPr>
              <w:fldChar w:fldCharType="separate"/>
            </w:r>
            <w:r w:rsidR="004B7EF0">
              <w:rPr>
                <w:noProof/>
                <w:webHidden/>
              </w:rPr>
              <w:t>9</w:t>
            </w:r>
            <w:r w:rsidR="004B7EF0">
              <w:rPr>
                <w:noProof/>
                <w:webHidden/>
              </w:rPr>
              <w:fldChar w:fldCharType="end"/>
            </w:r>
          </w:hyperlink>
        </w:p>
        <w:p w14:paraId="5F72B780" w14:textId="668F23E1"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6" w:history="1">
            <w:r w:rsidR="004B7EF0" w:rsidRPr="00CF7076">
              <w:rPr>
                <w:rStyle w:val="Hyperlink"/>
                <w:noProof/>
              </w:rPr>
              <w:t>3.2 | Workflow Approval</w:t>
            </w:r>
            <w:r w:rsidR="004B7EF0">
              <w:rPr>
                <w:noProof/>
                <w:webHidden/>
              </w:rPr>
              <w:tab/>
            </w:r>
            <w:r w:rsidR="004B7EF0">
              <w:rPr>
                <w:noProof/>
                <w:webHidden/>
              </w:rPr>
              <w:fldChar w:fldCharType="begin"/>
            </w:r>
            <w:r w:rsidR="004B7EF0">
              <w:rPr>
                <w:noProof/>
                <w:webHidden/>
              </w:rPr>
              <w:instrText xml:space="preserve"> PAGEREF _Toc177982926 \h </w:instrText>
            </w:r>
            <w:r w:rsidR="004B7EF0">
              <w:rPr>
                <w:noProof/>
                <w:webHidden/>
              </w:rPr>
            </w:r>
            <w:r w:rsidR="004B7EF0">
              <w:rPr>
                <w:noProof/>
                <w:webHidden/>
              </w:rPr>
              <w:fldChar w:fldCharType="separate"/>
            </w:r>
            <w:r w:rsidR="004B7EF0">
              <w:rPr>
                <w:noProof/>
                <w:webHidden/>
              </w:rPr>
              <w:t>9</w:t>
            </w:r>
            <w:r w:rsidR="004B7EF0">
              <w:rPr>
                <w:noProof/>
                <w:webHidden/>
              </w:rPr>
              <w:fldChar w:fldCharType="end"/>
            </w:r>
          </w:hyperlink>
        </w:p>
        <w:p w14:paraId="4EF688BC" w14:textId="48B9085A"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7" w:history="1">
            <w:r w:rsidR="004B7EF0" w:rsidRPr="00CF7076">
              <w:rPr>
                <w:rStyle w:val="Hyperlink"/>
                <w:noProof/>
              </w:rPr>
              <w:t>3.3 | Payment of Claims</w:t>
            </w:r>
            <w:r w:rsidR="004B7EF0">
              <w:rPr>
                <w:noProof/>
                <w:webHidden/>
              </w:rPr>
              <w:tab/>
            </w:r>
            <w:r w:rsidR="004B7EF0">
              <w:rPr>
                <w:noProof/>
                <w:webHidden/>
              </w:rPr>
              <w:fldChar w:fldCharType="begin"/>
            </w:r>
            <w:r w:rsidR="004B7EF0">
              <w:rPr>
                <w:noProof/>
                <w:webHidden/>
              </w:rPr>
              <w:instrText xml:space="preserve"> PAGEREF _Toc177982927 \h </w:instrText>
            </w:r>
            <w:r w:rsidR="004B7EF0">
              <w:rPr>
                <w:noProof/>
                <w:webHidden/>
              </w:rPr>
            </w:r>
            <w:r w:rsidR="004B7EF0">
              <w:rPr>
                <w:noProof/>
                <w:webHidden/>
              </w:rPr>
              <w:fldChar w:fldCharType="separate"/>
            </w:r>
            <w:r w:rsidR="004B7EF0">
              <w:rPr>
                <w:noProof/>
                <w:webHidden/>
              </w:rPr>
              <w:t>10</w:t>
            </w:r>
            <w:r w:rsidR="004B7EF0">
              <w:rPr>
                <w:noProof/>
                <w:webHidden/>
              </w:rPr>
              <w:fldChar w:fldCharType="end"/>
            </w:r>
          </w:hyperlink>
        </w:p>
        <w:p w14:paraId="62E868F7" w14:textId="38A346BB"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28" w:history="1">
            <w:r w:rsidR="004B7EF0" w:rsidRPr="00CF7076">
              <w:rPr>
                <w:rStyle w:val="Hyperlink"/>
                <w:noProof/>
              </w:rPr>
              <w:t>4 | Contract Changes</w:t>
            </w:r>
            <w:r w:rsidR="004B7EF0">
              <w:rPr>
                <w:noProof/>
                <w:webHidden/>
              </w:rPr>
              <w:tab/>
            </w:r>
            <w:r w:rsidR="004B7EF0">
              <w:rPr>
                <w:noProof/>
                <w:webHidden/>
              </w:rPr>
              <w:fldChar w:fldCharType="begin"/>
            </w:r>
            <w:r w:rsidR="004B7EF0">
              <w:rPr>
                <w:noProof/>
                <w:webHidden/>
              </w:rPr>
              <w:instrText xml:space="preserve"> PAGEREF _Toc177982928 \h </w:instrText>
            </w:r>
            <w:r w:rsidR="004B7EF0">
              <w:rPr>
                <w:noProof/>
                <w:webHidden/>
              </w:rPr>
            </w:r>
            <w:r w:rsidR="004B7EF0">
              <w:rPr>
                <w:noProof/>
                <w:webHidden/>
              </w:rPr>
              <w:fldChar w:fldCharType="separate"/>
            </w:r>
            <w:r w:rsidR="004B7EF0">
              <w:rPr>
                <w:noProof/>
                <w:webHidden/>
              </w:rPr>
              <w:t>11</w:t>
            </w:r>
            <w:r w:rsidR="004B7EF0">
              <w:rPr>
                <w:noProof/>
                <w:webHidden/>
              </w:rPr>
              <w:fldChar w:fldCharType="end"/>
            </w:r>
          </w:hyperlink>
        </w:p>
        <w:p w14:paraId="090FAF50" w14:textId="694186C4"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29" w:history="1">
            <w:r w:rsidR="004B7EF0" w:rsidRPr="00CF7076">
              <w:rPr>
                <w:rStyle w:val="Hyperlink"/>
                <w:noProof/>
              </w:rPr>
              <w:t>4.1 | Contract Changes</w:t>
            </w:r>
            <w:r w:rsidR="004B7EF0">
              <w:rPr>
                <w:noProof/>
                <w:webHidden/>
              </w:rPr>
              <w:tab/>
            </w:r>
            <w:r w:rsidR="004B7EF0">
              <w:rPr>
                <w:noProof/>
                <w:webHidden/>
              </w:rPr>
              <w:fldChar w:fldCharType="begin"/>
            </w:r>
            <w:r w:rsidR="004B7EF0">
              <w:rPr>
                <w:noProof/>
                <w:webHidden/>
              </w:rPr>
              <w:instrText xml:space="preserve"> PAGEREF _Toc177982929 \h </w:instrText>
            </w:r>
            <w:r w:rsidR="004B7EF0">
              <w:rPr>
                <w:noProof/>
                <w:webHidden/>
              </w:rPr>
            </w:r>
            <w:r w:rsidR="004B7EF0">
              <w:rPr>
                <w:noProof/>
                <w:webHidden/>
              </w:rPr>
              <w:fldChar w:fldCharType="separate"/>
            </w:r>
            <w:r w:rsidR="004B7EF0">
              <w:rPr>
                <w:noProof/>
                <w:webHidden/>
              </w:rPr>
              <w:t>11</w:t>
            </w:r>
            <w:r w:rsidR="004B7EF0">
              <w:rPr>
                <w:noProof/>
                <w:webHidden/>
              </w:rPr>
              <w:fldChar w:fldCharType="end"/>
            </w:r>
          </w:hyperlink>
        </w:p>
        <w:p w14:paraId="39C552E6" w14:textId="1BA7DF19"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30" w:history="1">
            <w:r w:rsidR="004B7EF0" w:rsidRPr="00CF7076">
              <w:rPr>
                <w:rStyle w:val="Hyperlink"/>
                <w:noProof/>
                <w14:scene3d>
                  <w14:camera w14:prst="orthographicFront"/>
                  <w14:lightRig w14:rig="threePt" w14:dir="t">
                    <w14:rot w14:lat="0" w14:lon="0" w14:rev="0"/>
                  </w14:lightRig>
                </w14:scene3d>
              </w:rPr>
              <w:t>4.1.1 |</w:t>
            </w:r>
            <w:r w:rsidR="004B7EF0" w:rsidRPr="00CF7076">
              <w:rPr>
                <w:rStyle w:val="Hyperlink"/>
                <w:noProof/>
              </w:rPr>
              <w:t xml:space="preserve"> Changes to Hours</w:t>
            </w:r>
            <w:r w:rsidR="004B7EF0">
              <w:rPr>
                <w:noProof/>
                <w:webHidden/>
              </w:rPr>
              <w:tab/>
            </w:r>
            <w:r w:rsidR="004B7EF0">
              <w:rPr>
                <w:noProof/>
                <w:webHidden/>
              </w:rPr>
              <w:fldChar w:fldCharType="begin"/>
            </w:r>
            <w:r w:rsidR="004B7EF0">
              <w:rPr>
                <w:noProof/>
                <w:webHidden/>
              </w:rPr>
              <w:instrText xml:space="preserve"> PAGEREF _Toc177982930 \h </w:instrText>
            </w:r>
            <w:r w:rsidR="004B7EF0">
              <w:rPr>
                <w:noProof/>
                <w:webHidden/>
              </w:rPr>
            </w:r>
            <w:r w:rsidR="004B7EF0">
              <w:rPr>
                <w:noProof/>
                <w:webHidden/>
              </w:rPr>
              <w:fldChar w:fldCharType="separate"/>
            </w:r>
            <w:r w:rsidR="004B7EF0">
              <w:rPr>
                <w:noProof/>
                <w:webHidden/>
              </w:rPr>
              <w:t>11</w:t>
            </w:r>
            <w:r w:rsidR="004B7EF0">
              <w:rPr>
                <w:noProof/>
                <w:webHidden/>
              </w:rPr>
              <w:fldChar w:fldCharType="end"/>
            </w:r>
          </w:hyperlink>
        </w:p>
        <w:p w14:paraId="620A1C4B" w14:textId="31FA8203"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31" w:history="1">
            <w:r w:rsidR="004B7EF0" w:rsidRPr="00CF7076">
              <w:rPr>
                <w:rStyle w:val="Hyperlink"/>
                <w:noProof/>
                <w14:scene3d>
                  <w14:camera w14:prst="orthographicFront"/>
                  <w14:lightRig w14:rig="threePt" w14:dir="t">
                    <w14:rot w14:lat="0" w14:lon="0" w14:rev="0"/>
                  </w14:lightRig>
                </w14:scene3d>
              </w:rPr>
              <w:t>4.1.2 |</w:t>
            </w:r>
            <w:r w:rsidR="004B7EF0" w:rsidRPr="00CF7076">
              <w:rPr>
                <w:rStyle w:val="Hyperlink"/>
                <w:noProof/>
              </w:rPr>
              <w:t xml:space="preserve"> Other Working Arrangement Changes</w:t>
            </w:r>
            <w:r w:rsidR="004B7EF0">
              <w:rPr>
                <w:noProof/>
                <w:webHidden/>
              </w:rPr>
              <w:tab/>
            </w:r>
            <w:r w:rsidR="004B7EF0">
              <w:rPr>
                <w:noProof/>
                <w:webHidden/>
              </w:rPr>
              <w:fldChar w:fldCharType="begin"/>
            </w:r>
            <w:r w:rsidR="004B7EF0">
              <w:rPr>
                <w:noProof/>
                <w:webHidden/>
              </w:rPr>
              <w:instrText xml:space="preserve"> PAGEREF _Toc177982931 \h </w:instrText>
            </w:r>
            <w:r w:rsidR="004B7EF0">
              <w:rPr>
                <w:noProof/>
                <w:webHidden/>
              </w:rPr>
            </w:r>
            <w:r w:rsidR="004B7EF0">
              <w:rPr>
                <w:noProof/>
                <w:webHidden/>
              </w:rPr>
              <w:fldChar w:fldCharType="separate"/>
            </w:r>
            <w:r w:rsidR="004B7EF0">
              <w:rPr>
                <w:noProof/>
                <w:webHidden/>
              </w:rPr>
              <w:t>11</w:t>
            </w:r>
            <w:r w:rsidR="004B7EF0">
              <w:rPr>
                <w:noProof/>
                <w:webHidden/>
              </w:rPr>
              <w:fldChar w:fldCharType="end"/>
            </w:r>
          </w:hyperlink>
        </w:p>
        <w:p w14:paraId="38EC41D0" w14:textId="4CC5C8F0"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32" w:history="1">
            <w:r w:rsidR="004B7EF0" w:rsidRPr="00CF7076">
              <w:rPr>
                <w:rStyle w:val="Hyperlink"/>
                <w:noProof/>
                <w14:scene3d>
                  <w14:camera w14:prst="orthographicFront"/>
                  <w14:lightRig w14:rig="threePt" w14:dir="t">
                    <w14:rot w14:lat="0" w14:lon="0" w14:rev="0"/>
                  </w14:lightRig>
                </w14:scene3d>
              </w:rPr>
              <w:t>4.1.3 |</w:t>
            </w:r>
            <w:r w:rsidR="004B7EF0" w:rsidRPr="00CF7076">
              <w:rPr>
                <w:rStyle w:val="Hyperlink"/>
                <w:noProof/>
              </w:rPr>
              <w:t xml:space="preserve"> Amendment Period</w:t>
            </w:r>
            <w:r w:rsidR="004B7EF0">
              <w:rPr>
                <w:noProof/>
                <w:webHidden/>
              </w:rPr>
              <w:tab/>
            </w:r>
            <w:r w:rsidR="004B7EF0">
              <w:rPr>
                <w:noProof/>
                <w:webHidden/>
              </w:rPr>
              <w:fldChar w:fldCharType="begin"/>
            </w:r>
            <w:r w:rsidR="004B7EF0">
              <w:rPr>
                <w:noProof/>
                <w:webHidden/>
              </w:rPr>
              <w:instrText xml:space="preserve"> PAGEREF _Toc177982932 \h </w:instrText>
            </w:r>
            <w:r w:rsidR="004B7EF0">
              <w:rPr>
                <w:noProof/>
                <w:webHidden/>
              </w:rPr>
            </w:r>
            <w:r w:rsidR="004B7EF0">
              <w:rPr>
                <w:noProof/>
                <w:webHidden/>
              </w:rPr>
              <w:fldChar w:fldCharType="separate"/>
            </w:r>
            <w:r w:rsidR="004B7EF0">
              <w:rPr>
                <w:noProof/>
                <w:webHidden/>
              </w:rPr>
              <w:t>12</w:t>
            </w:r>
            <w:r w:rsidR="004B7EF0">
              <w:rPr>
                <w:noProof/>
                <w:webHidden/>
              </w:rPr>
              <w:fldChar w:fldCharType="end"/>
            </w:r>
          </w:hyperlink>
        </w:p>
        <w:p w14:paraId="5AA596DC" w14:textId="5C0A9A4B"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33" w:history="1">
            <w:r w:rsidR="004B7EF0" w:rsidRPr="00CF7076">
              <w:rPr>
                <w:rStyle w:val="Hyperlink"/>
                <w:noProof/>
              </w:rPr>
              <w:t>5 | Absences</w:t>
            </w:r>
            <w:r w:rsidR="004B7EF0">
              <w:rPr>
                <w:noProof/>
                <w:webHidden/>
              </w:rPr>
              <w:tab/>
            </w:r>
            <w:r w:rsidR="004B7EF0">
              <w:rPr>
                <w:noProof/>
                <w:webHidden/>
              </w:rPr>
              <w:fldChar w:fldCharType="begin"/>
            </w:r>
            <w:r w:rsidR="004B7EF0">
              <w:rPr>
                <w:noProof/>
                <w:webHidden/>
              </w:rPr>
              <w:instrText xml:space="preserve"> PAGEREF _Toc177982933 \h </w:instrText>
            </w:r>
            <w:r w:rsidR="004B7EF0">
              <w:rPr>
                <w:noProof/>
                <w:webHidden/>
              </w:rPr>
            </w:r>
            <w:r w:rsidR="004B7EF0">
              <w:rPr>
                <w:noProof/>
                <w:webHidden/>
              </w:rPr>
              <w:fldChar w:fldCharType="separate"/>
            </w:r>
            <w:r w:rsidR="004B7EF0">
              <w:rPr>
                <w:noProof/>
                <w:webHidden/>
              </w:rPr>
              <w:t>13</w:t>
            </w:r>
            <w:r w:rsidR="004B7EF0">
              <w:rPr>
                <w:noProof/>
                <w:webHidden/>
              </w:rPr>
              <w:fldChar w:fldCharType="end"/>
            </w:r>
          </w:hyperlink>
        </w:p>
        <w:p w14:paraId="1D996F02" w14:textId="36381BB5"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34" w:history="1">
            <w:r w:rsidR="004B7EF0" w:rsidRPr="00CF7076">
              <w:rPr>
                <w:rStyle w:val="Hyperlink"/>
                <w:noProof/>
              </w:rPr>
              <w:t>5.1 | Administering Teaching Support Staff Absences</w:t>
            </w:r>
            <w:r w:rsidR="004B7EF0">
              <w:rPr>
                <w:noProof/>
                <w:webHidden/>
              </w:rPr>
              <w:tab/>
            </w:r>
            <w:r w:rsidR="004B7EF0">
              <w:rPr>
                <w:noProof/>
                <w:webHidden/>
              </w:rPr>
              <w:fldChar w:fldCharType="begin"/>
            </w:r>
            <w:r w:rsidR="004B7EF0">
              <w:rPr>
                <w:noProof/>
                <w:webHidden/>
              </w:rPr>
              <w:instrText xml:space="preserve"> PAGEREF _Toc177982934 \h </w:instrText>
            </w:r>
            <w:r w:rsidR="004B7EF0">
              <w:rPr>
                <w:noProof/>
                <w:webHidden/>
              </w:rPr>
            </w:r>
            <w:r w:rsidR="004B7EF0">
              <w:rPr>
                <w:noProof/>
                <w:webHidden/>
              </w:rPr>
              <w:fldChar w:fldCharType="separate"/>
            </w:r>
            <w:r w:rsidR="004B7EF0">
              <w:rPr>
                <w:noProof/>
                <w:webHidden/>
              </w:rPr>
              <w:t>13</w:t>
            </w:r>
            <w:r w:rsidR="004B7EF0">
              <w:rPr>
                <w:noProof/>
                <w:webHidden/>
              </w:rPr>
              <w:fldChar w:fldCharType="end"/>
            </w:r>
          </w:hyperlink>
        </w:p>
        <w:p w14:paraId="22446796" w14:textId="0EC2D7FD"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35" w:history="1">
            <w:r w:rsidR="004B7EF0" w:rsidRPr="00CF7076">
              <w:rPr>
                <w:rStyle w:val="Hyperlink"/>
                <w:noProof/>
                <w14:scene3d>
                  <w14:camera w14:prst="orthographicFront"/>
                  <w14:lightRig w14:rig="threePt" w14:dir="t">
                    <w14:rot w14:lat="0" w14:lon="0" w14:rev="0"/>
                  </w14:lightRig>
                </w14:scene3d>
              </w:rPr>
              <w:t>5.1.1 |</w:t>
            </w:r>
            <w:r w:rsidR="004B7EF0" w:rsidRPr="00CF7076">
              <w:rPr>
                <w:rStyle w:val="Hyperlink"/>
                <w:noProof/>
              </w:rPr>
              <w:t xml:space="preserve"> Sickness absence</w:t>
            </w:r>
            <w:r w:rsidR="004B7EF0">
              <w:rPr>
                <w:noProof/>
                <w:webHidden/>
              </w:rPr>
              <w:tab/>
            </w:r>
            <w:r w:rsidR="004B7EF0">
              <w:rPr>
                <w:noProof/>
                <w:webHidden/>
              </w:rPr>
              <w:fldChar w:fldCharType="begin"/>
            </w:r>
            <w:r w:rsidR="004B7EF0">
              <w:rPr>
                <w:noProof/>
                <w:webHidden/>
              </w:rPr>
              <w:instrText xml:space="preserve"> PAGEREF _Toc177982935 \h </w:instrText>
            </w:r>
            <w:r w:rsidR="004B7EF0">
              <w:rPr>
                <w:noProof/>
                <w:webHidden/>
              </w:rPr>
            </w:r>
            <w:r w:rsidR="004B7EF0">
              <w:rPr>
                <w:noProof/>
                <w:webHidden/>
              </w:rPr>
              <w:fldChar w:fldCharType="separate"/>
            </w:r>
            <w:r w:rsidR="004B7EF0">
              <w:rPr>
                <w:noProof/>
                <w:webHidden/>
              </w:rPr>
              <w:t>13</w:t>
            </w:r>
            <w:r w:rsidR="004B7EF0">
              <w:rPr>
                <w:noProof/>
                <w:webHidden/>
              </w:rPr>
              <w:fldChar w:fldCharType="end"/>
            </w:r>
          </w:hyperlink>
        </w:p>
        <w:p w14:paraId="3546A063" w14:textId="21292F65" w:rsidR="004B7EF0" w:rsidRDefault="00F6425A">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77982936" w:history="1">
            <w:r w:rsidR="004B7EF0" w:rsidRPr="00CF7076">
              <w:rPr>
                <w:rStyle w:val="Hyperlink"/>
                <w:noProof/>
                <w14:scene3d>
                  <w14:camera w14:prst="orthographicFront"/>
                  <w14:lightRig w14:rig="threePt" w14:dir="t">
                    <w14:rot w14:lat="0" w14:lon="0" w14:rev="0"/>
                  </w14:lightRig>
                </w14:scene3d>
              </w:rPr>
              <w:t>5.1.2 |</w:t>
            </w:r>
            <w:r w:rsidR="004B7EF0" w:rsidRPr="00CF7076">
              <w:rPr>
                <w:rStyle w:val="Hyperlink"/>
                <w:noProof/>
              </w:rPr>
              <w:t xml:space="preserve"> Statutory family leave</w:t>
            </w:r>
            <w:r w:rsidR="004B7EF0">
              <w:rPr>
                <w:noProof/>
                <w:webHidden/>
              </w:rPr>
              <w:tab/>
            </w:r>
            <w:r w:rsidR="004B7EF0">
              <w:rPr>
                <w:noProof/>
                <w:webHidden/>
              </w:rPr>
              <w:fldChar w:fldCharType="begin"/>
            </w:r>
            <w:r w:rsidR="004B7EF0">
              <w:rPr>
                <w:noProof/>
                <w:webHidden/>
              </w:rPr>
              <w:instrText xml:space="preserve"> PAGEREF _Toc177982936 \h </w:instrText>
            </w:r>
            <w:r w:rsidR="004B7EF0">
              <w:rPr>
                <w:noProof/>
                <w:webHidden/>
              </w:rPr>
            </w:r>
            <w:r w:rsidR="004B7EF0">
              <w:rPr>
                <w:noProof/>
                <w:webHidden/>
              </w:rPr>
              <w:fldChar w:fldCharType="separate"/>
            </w:r>
            <w:r w:rsidR="004B7EF0">
              <w:rPr>
                <w:noProof/>
                <w:webHidden/>
              </w:rPr>
              <w:t>13</w:t>
            </w:r>
            <w:r w:rsidR="004B7EF0">
              <w:rPr>
                <w:noProof/>
                <w:webHidden/>
              </w:rPr>
              <w:fldChar w:fldCharType="end"/>
            </w:r>
          </w:hyperlink>
        </w:p>
        <w:p w14:paraId="7183C6F6" w14:textId="09BB567F"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37" w:history="1">
            <w:r w:rsidR="004B7EF0" w:rsidRPr="00CF7076">
              <w:rPr>
                <w:rStyle w:val="Hyperlink"/>
                <w:noProof/>
              </w:rPr>
              <w:t>6 | Monitoring / Reporting on Teaching Support Staff</w:t>
            </w:r>
            <w:r w:rsidR="004B7EF0">
              <w:rPr>
                <w:noProof/>
                <w:webHidden/>
              </w:rPr>
              <w:tab/>
            </w:r>
            <w:r w:rsidR="004B7EF0">
              <w:rPr>
                <w:noProof/>
                <w:webHidden/>
              </w:rPr>
              <w:fldChar w:fldCharType="begin"/>
            </w:r>
            <w:r w:rsidR="004B7EF0">
              <w:rPr>
                <w:noProof/>
                <w:webHidden/>
              </w:rPr>
              <w:instrText xml:space="preserve"> PAGEREF _Toc177982937 \h </w:instrText>
            </w:r>
            <w:r w:rsidR="004B7EF0">
              <w:rPr>
                <w:noProof/>
                <w:webHidden/>
              </w:rPr>
            </w:r>
            <w:r w:rsidR="004B7EF0">
              <w:rPr>
                <w:noProof/>
                <w:webHidden/>
              </w:rPr>
              <w:fldChar w:fldCharType="separate"/>
            </w:r>
            <w:r w:rsidR="004B7EF0">
              <w:rPr>
                <w:noProof/>
                <w:webHidden/>
              </w:rPr>
              <w:t>14</w:t>
            </w:r>
            <w:r w:rsidR="004B7EF0">
              <w:rPr>
                <w:noProof/>
                <w:webHidden/>
              </w:rPr>
              <w:fldChar w:fldCharType="end"/>
            </w:r>
          </w:hyperlink>
        </w:p>
        <w:p w14:paraId="6774B2C4" w14:textId="330DF48E" w:rsidR="004B7EF0" w:rsidRDefault="00F6425A">
          <w:pPr>
            <w:pStyle w:val="TOC1"/>
            <w:tabs>
              <w:tab w:val="right" w:leader="dot" w:pos="9016"/>
            </w:tabs>
            <w:rPr>
              <w:rFonts w:asciiTheme="minorHAnsi" w:eastAsiaTheme="minorEastAsia" w:hAnsiTheme="minorHAnsi"/>
              <w:noProof/>
              <w:kern w:val="2"/>
              <w:szCs w:val="24"/>
              <w:lang w:eastAsia="en-GB"/>
              <w14:ligatures w14:val="standardContextual"/>
            </w:rPr>
          </w:pPr>
          <w:hyperlink w:anchor="_Toc177982938" w:history="1">
            <w:r w:rsidR="004B7EF0" w:rsidRPr="00CF7076">
              <w:rPr>
                <w:rStyle w:val="Hyperlink"/>
                <w:noProof/>
              </w:rPr>
              <w:t>7 | Appendix</w:t>
            </w:r>
            <w:r w:rsidR="004B7EF0">
              <w:rPr>
                <w:noProof/>
                <w:webHidden/>
              </w:rPr>
              <w:tab/>
            </w:r>
            <w:r w:rsidR="004B7EF0">
              <w:rPr>
                <w:noProof/>
                <w:webHidden/>
              </w:rPr>
              <w:fldChar w:fldCharType="begin"/>
            </w:r>
            <w:r w:rsidR="004B7EF0">
              <w:rPr>
                <w:noProof/>
                <w:webHidden/>
              </w:rPr>
              <w:instrText xml:space="preserve"> PAGEREF _Toc177982938 \h </w:instrText>
            </w:r>
            <w:r w:rsidR="004B7EF0">
              <w:rPr>
                <w:noProof/>
                <w:webHidden/>
              </w:rPr>
            </w:r>
            <w:r w:rsidR="004B7EF0">
              <w:rPr>
                <w:noProof/>
                <w:webHidden/>
              </w:rPr>
              <w:fldChar w:fldCharType="separate"/>
            </w:r>
            <w:r w:rsidR="004B7EF0">
              <w:rPr>
                <w:noProof/>
                <w:webHidden/>
              </w:rPr>
              <w:t>16</w:t>
            </w:r>
            <w:r w:rsidR="004B7EF0">
              <w:rPr>
                <w:noProof/>
                <w:webHidden/>
              </w:rPr>
              <w:fldChar w:fldCharType="end"/>
            </w:r>
          </w:hyperlink>
        </w:p>
        <w:p w14:paraId="02FAFC86" w14:textId="73A50E4F" w:rsidR="004B7EF0" w:rsidRDefault="00F6425A">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77982939" w:history="1">
            <w:r w:rsidR="004B7EF0" w:rsidRPr="00CF7076">
              <w:rPr>
                <w:rStyle w:val="Hyperlink"/>
                <w:rFonts w:ascii="Arial" w:hAnsi="Arial" w:cs="Arial"/>
                <w:noProof/>
              </w:rPr>
              <w:t>7.1 | Supporting Teaching Support Staff</w:t>
            </w:r>
            <w:r w:rsidR="004B7EF0">
              <w:rPr>
                <w:noProof/>
                <w:webHidden/>
              </w:rPr>
              <w:tab/>
            </w:r>
            <w:r w:rsidR="004B7EF0">
              <w:rPr>
                <w:noProof/>
                <w:webHidden/>
              </w:rPr>
              <w:fldChar w:fldCharType="begin"/>
            </w:r>
            <w:r w:rsidR="004B7EF0">
              <w:rPr>
                <w:noProof/>
                <w:webHidden/>
              </w:rPr>
              <w:instrText xml:space="preserve"> PAGEREF _Toc177982939 \h </w:instrText>
            </w:r>
            <w:r w:rsidR="004B7EF0">
              <w:rPr>
                <w:noProof/>
                <w:webHidden/>
              </w:rPr>
            </w:r>
            <w:r w:rsidR="004B7EF0">
              <w:rPr>
                <w:noProof/>
                <w:webHidden/>
              </w:rPr>
              <w:fldChar w:fldCharType="separate"/>
            </w:r>
            <w:r w:rsidR="004B7EF0">
              <w:rPr>
                <w:noProof/>
                <w:webHidden/>
              </w:rPr>
              <w:t>16</w:t>
            </w:r>
            <w:r w:rsidR="004B7EF0">
              <w:rPr>
                <w:noProof/>
                <w:webHidden/>
              </w:rPr>
              <w:fldChar w:fldCharType="end"/>
            </w:r>
          </w:hyperlink>
        </w:p>
        <w:p w14:paraId="6ABF3F24" w14:textId="71B642B2" w:rsidR="003E55D5" w:rsidRDefault="003E55D5" w:rsidP="003E55D5">
          <w:r>
            <w:rPr>
              <w:b/>
              <w:bCs/>
              <w:noProof/>
            </w:rPr>
            <w:fldChar w:fldCharType="end"/>
          </w:r>
        </w:p>
      </w:sdtContent>
    </w:sdt>
    <w:p w14:paraId="45E63EC4" w14:textId="619CFF20" w:rsidR="003E55D5" w:rsidRDefault="003E55D5" w:rsidP="003E55D5">
      <w:pPr>
        <w:spacing w:before="0" w:after="160"/>
        <w:rPr>
          <w:rFonts w:eastAsiaTheme="majorEastAsia" w:cstheme="majorBidi"/>
          <w:b/>
          <w:color w:val="FFFFFF" w:themeColor="background1"/>
          <w:sz w:val="40"/>
          <w:szCs w:val="32"/>
        </w:rPr>
      </w:pPr>
      <w:r>
        <w:br w:type="page"/>
      </w:r>
    </w:p>
    <w:p w14:paraId="2D02B441" w14:textId="247F7BB9" w:rsidR="003E55D5" w:rsidRPr="00436021" w:rsidRDefault="0070164F" w:rsidP="003E55D5">
      <w:pPr>
        <w:pStyle w:val="Heading1"/>
      </w:pPr>
      <w:bookmarkStart w:id="0" w:name="_Toc177982914"/>
      <w:r>
        <w:lastRenderedPageBreak/>
        <w:t>TSR</w:t>
      </w:r>
      <w:r w:rsidR="003E55D5" w:rsidRPr="00436021">
        <w:t xml:space="preserve"> Process Overview</w:t>
      </w:r>
      <w:bookmarkEnd w:id="0"/>
    </w:p>
    <w:p w14:paraId="5BC9ED4A" w14:textId="77777777" w:rsidR="003E55D5" w:rsidRDefault="003E55D5" w:rsidP="003E55D5">
      <w:pPr>
        <w:rPr>
          <w:rFonts w:asciiTheme="minorHAnsi" w:hAnsiTheme="minorHAnsi" w:cstheme="minorHAnsi"/>
          <w:i/>
          <w:sz w:val="22"/>
        </w:rPr>
      </w:pPr>
    </w:p>
    <w:p w14:paraId="2ED68E8B" w14:textId="77777777" w:rsidR="003E55D5" w:rsidRPr="00436021" w:rsidRDefault="003E55D5" w:rsidP="003E55D5">
      <w:pPr>
        <w:pStyle w:val="Heading2"/>
      </w:pPr>
      <w:bookmarkStart w:id="1" w:name="_Toc177982915"/>
      <w:r>
        <w:t>TSR</w:t>
      </w:r>
      <w:r w:rsidRPr="00436021">
        <w:t xml:space="preserve"> Definition</w:t>
      </w:r>
      <w:bookmarkEnd w:id="1"/>
    </w:p>
    <w:p w14:paraId="782743BC" w14:textId="2CA7864B" w:rsidR="003E55D5" w:rsidRPr="00436021" w:rsidRDefault="003E55D5" w:rsidP="003E55D5">
      <w:pPr>
        <w:rPr>
          <w:rFonts w:asciiTheme="minorHAnsi" w:hAnsiTheme="minorHAnsi" w:cstheme="minorHAnsi"/>
          <w:sz w:val="22"/>
        </w:rPr>
      </w:pPr>
      <w:r>
        <w:rPr>
          <w:rFonts w:asciiTheme="minorHAnsi" w:hAnsiTheme="minorHAnsi" w:cstheme="minorHAnsi"/>
          <w:sz w:val="22"/>
        </w:rPr>
        <w:t>Teaching Support Role</w:t>
      </w:r>
      <w:r w:rsidRPr="00436021">
        <w:rPr>
          <w:rFonts w:asciiTheme="minorHAnsi" w:hAnsiTheme="minorHAnsi" w:cstheme="minorHAnsi"/>
          <w:sz w:val="22"/>
        </w:rPr>
        <w:t xml:space="preserve"> </w:t>
      </w:r>
      <w:r w:rsidR="002A30BC">
        <w:rPr>
          <w:rFonts w:asciiTheme="minorHAnsi" w:hAnsiTheme="minorHAnsi" w:cstheme="minorHAnsi"/>
          <w:sz w:val="22"/>
        </w:rPr>
        <w:t xml:space="preserve">staff </w:t>
      </w:r>
      <w:r w:rsidRPr="00436021">
        <w:rPr>
          <w:rFonts w:asciiTheme="minorHAnsi" w:hAnsiTheme="minorHAnsi" w:cstheme="minorHAnsi"/>
          <w:sz w:val="22"/>
        </w:rPr>
        <w:t>(</w:t>
      </w:r>
      <w:r>
        <w:rPr>
          <w:rFonts w:asciiTheme="minorHAnsi" w:hAnsiTheme="minorHAnsi" w:cstheme="minorHAnsi"/>
          <w:sz w:val="22"/>
        </w:rPr>
        <w:t>TSRs</w:t>
      </w:r>
      <w:r w:rsidRPr="00436021">
        <w:rPr>
          <w:rFonts w:asciiTheme="minorHAnsi" w:hAnsiTheme="minorHAnsi" w:cstheme="minorHAnsi"/>
          <w:sz w:val="22"/>
        </w:rPr>
        <w:t xml:space="preserve">) are employed at the University of Bristol to </w:t>
      </w:r>
      <w:r>
        <w:rPr>
          <w:rFonts w:asciiTheme="minorHAnsi" w:hAnsiTheme="minorHAnsi" w:cstheme="minorHAnsi"/>
          <w:sz w:val="22"/>
        </w:rPr>
        <w:t xml:space="preserve">support </w:t>
      </w:r>
      <w:r w:rsidRPr="00436021">
        <w:rPr>
          <w:rFonts w:asciiTheme="minorHAnsi" w:hAnsiTheme="minorHAnsi" w:cstheme="minorHAnsi"/>
          <w:sz w:val="22"/>
        </w:rPr>
        <w:t>deliver</w:t>
      </w:r>
      <w:r>
        <w:rPr>
          <w:rFonts w:asciiTheme="minorHAnsi" w:hAnsiTheme="minorHAnsi" w:cstheme="minorHAnsi"/>
          <w:sz w:val="22"/>
        </w:rPr>
        <w:t>y of</w:t>
      </w:r>
      <w:r w:rsidRPr="00436021">
        <w:rPr>
          <w:rFonts w:asciiTheme="minorHAnsi" w:hAnsiTheme="minorHAnsi" w:cstheme="minorHAnsi"/>
          <w:sz w:val="22"/>
        </w:rPr>
        <w:t xml:space="preserve"> teaching to students on undergraduate, postgraduate and lifelong learning programmes.  </w:t>
      </w:r>
    </w:p>
    <w:p w14:paraId="155E69F4" w14:textId="217DC853" w:rsidR="003E55D5" w:rsidRPr="00541B9E" w:rsidRDefault="3683FC86" w:rsidP="78DE4EE1">
      <w:pPr>
        <w:rPr>
          <w:rFonts w:asciiTheme="minorHAnsi" w:hAnsiTheme="minorHAnsi"/>
          <w:sz w:val="22"/>
        </w:rPr>
      </w:pPr>
      <w:r w:rsidRPr="00541B9E">
        <w:rPr>
          <w:rFonts w:asciiTheme="minorHAnsi" w:hAnsiTheme="minorHAnsi"/>
          <w:sz w:val="22"/>
        </w:rPr>
        <w:t>They are engaged as part of an annual exercise, contract</w:t>
      </w:r>
      <w:r w:rsidR="007C4597" w:rsidRPr="00541B9E">
        <w:rPr>
          <w:rFonts w:asciiTheme="minorHAnsi" w:hAnsiTheme="minorHAnsi"/>
          <w:sz w:val="22"/>
        </w:rPr>
        <w:t>ed</w:t>
      </w:r>
      <w:r w:rsidRPr="00541B9E">
        <w:rPr>
          <w:rFonts w:asciiTheme="minorHAnsi" w:hAnsiTheme="minorHAnsi"/>
          <w:sz w:val="22"/>
        </w:rPr>
        <w:t xml:space="preserve"> based on additional teaching needs identified for that academic year.</w:t>
      </w:r>
    </w:p>
    <w:p w14:paraId="6213636C" w14:textId="2144FE3E" w:rsidR="003E55D5" w:rsidRPr="00541B9E" w:rsidRDefault="003E55D5" w:rsidP="003E55D5">
      <w:pPr>
        <w:rPr>
          <w:rFonts w:asciiTheme="minorHAnsi" w:hAnsiTheme="minorHAnsi" w:cstheme="minorHAnsi"/>
          <w:sz w:val="22"/>
        </w:rPr>
      </w:pPr>
      <w:r w:rsidRPr="00541B9E">
        <w:rPr>
          <w:rFonts w:asciiTheme="minorHAnsi" w:hAnsiTheme="minorHAnsi" w:cstheme="minorHAnsi"/>
          <w:sz w:val="22"/>
        </w:rPr>
        <w:t xml:space="preserve">They are different from main staff in that they are not paid a monthly salary but paid </w:t>
      </w:r>
      <w:r w:rsidR="00F91D55" w:rsidRPr="00541B9E">
        <w:rPr>
          <w:rFonts w:asciiTheme="minorHAnsi" w:hAnsiTheme="minorHAnsi" w:cstheme="minorHAnsi"/>
          <w:sz w:val="22"/>
        </w:rPr>
        <w:t xml:space="preserve">one month in arrears </w:t>
      </w:r>
      <w:r w:rsidRPr="00541B9E">
        <w:rPr>
          <w:rFonts w:asciiTheme="minorHAnsi" w:hAnsiTheme="minorHAnsi" w:cstheme="minorHAnsi"/>
          <w:sz w:val="22"/>
        </w:rPr>
        <w:t>based on a monthly claim made for hours worked as contracted.</w:t>
      </w:r>
    </w:p>
    <w:p w14:paraId="1CD9FF67" w14:textId="717ADFC8" w:rsidR="003E55D5" w:rsidRPr="00436021" w:rsidRDefault="003E55D5" w:rsidP="003E55D5">
      <w:pPr>
        <w:rPr>
          <w:rFonts w:asciiTheme="minorHAnsi" w:hAnsiTheme="minorHAnsi" w:cstheme="minorHAnsi"/>
          <w:sz w:val="22"/>
        </w:rPr>
      </w:pPr>
      <w:r w:rsidRPr="00436021">
        <w:rPr>
          <w:rFonts w:asciiTheme="minorHAnsi" w:hAnsiTheme="minorHAnsi" w:cstheme="minorHAnsi"/>
          <w:sz w:val="22"/>
        </w:rPr>
        <w:t xml:space="preserve">Schools / Sections </w:t>
      </w:r>
      <w:r w:rsidR="001B678B">
        <w:rPr>
          <w:rFonts w:asciiTheme="minorHAnsi" w:hAnsiTheme="minorHAnsi" w:cstheme="minorHAnsi"/>
          <w:sz w:val="22"/>
        </w:rPr>
        <w:t>recruit</w:t>
      </w:r>
      <w:r w:rsidRPr="00436021">
        <w:rPr>
          <w:rFonts w:asciiTheme="minorHAnsi" w:hAnsiTheme="minorHAnsi" w:cstheme="minorHAnsi"/>
          <w:sz w:val="22"/>
        </w:rPr>
        <w:t xml:space="preserve"> </w:t>
      </w:r>
      <w:r>
        <w:rPr>
          <w:rFonts w:asciiTheme="minorHAnsi" w:hAnsiTheme="minorHAnsi" w:cstheme="minorHAnsi"/>
          <w:sz w:val="22"/>
        </w:rPr>
        <w:t>TSR</w:t>
      </w:r>
      <w:r w:rsidRPr="00436021">
        <w:rPr>
          <w:rFonts w:asciiTheme="minorHAnsi" w:hAnsiTheme="minorHAnsi" w:cstheme="minorHAnsi"/>
          <w:sz w:val="22"/>
        </w:rPr>
        <w:t xml:space="preserve">s directly, and contracts are then issued by </w:t>
      </w:r>
      <w:r>
        <w:rPr>
          <w:rFonts w:asciiTheme="minorHAnsi" w:hAnsiTheme="minorHAnsi" w:cstheme="minorHAnsi"/>
          <w:sz w:val="22"/>
        </w:rPr>
        <w:t xml:space="preserve">the </w:t>
      </w:r>
      <w:r w:rsidR="002A30BC">
        <w:rPr>
          <w:rFonts w:asciiTheme="minorHAnsi" w:hAnsiTheme="minorHAnsi" w:cstheme="minorHAnsi"/>
          <w:sz w:val="22"/>
        </w:rPr>
        <w:t>TSR Processing Team</w:t>
      </w:r>
      <w:r w:rsidR="00F91D55">
        <w:rPr>
          <w:rFonts w:asciiTheme="minorHAnsi" w:hAnsiTheme="minorHAnsi" w:cstheme="minorHAnsi"/>
          <w:sz w:val="22"/>
        </w:rPr>
        <w:t xml:space="preserve"> </w:t>
      </w:r>
      <w:r w:rsidR="00F91D55" w:rsidRPr="00541B9E">
        <w:rPr>
          <w:rFonts w:asciiTheme="minorHAnsi" w:hAnsiTheme="minorHAnsi" w:cstheme="minorHAnsi"/>
          <w:sz w:val="22"/>
        </w:rPr>
        <w:t>(part of the Temporary Staffing Service)</w:t>
      </w:r>
      <w:r w:rsidRPr="00541B9E">
        <w:rPr>
          <w:rFonts w:asciiTheme="minorHAnsi" w:hAnsiTheme="minorHAnsi" w:cstheme="minorHAnsi"/>
          <w:sz w:val="22"/>
        </w:rPr>
        <w:t xml:space="preserve">.  </w:t>
      </w:r>
      <w:r w:rsidRPr="00436021">
        <w:rPr>
          <w:rFonts w:asciiTheme="minorHAnsi" w:hAnsiTheme="minorHAnsi" w:cstheme="minorHAnsi"/>
          <w:sz w:val="22"/>
        </w:rPr>
        <w:t xml:space="preserve">They are appointed to a role based on the duties to be undertaken. The overall total hours of work </w:t>
      </w:r>
      <w:r w:rsidR="001B678B">
        <w:rPr>
          <w:rFonts w:asciiTheme="minorHAnsi" w:hAnsiTheme="minorHAnsi" w:cstheme="minorHAnsi"/>
          <w:sz w:val="22"/>
        </w:rPr>
        <w:t xml:space="preserve">must be </w:t>
      </w:r>
      <w:r w:rsidRPr="00436021">
        <w:rPr>
          <w:rFonts w:asciiTheme="minorHAnsi" w:hAnsiTheme="minorHAnsi" w:cstheme="minorHAnsi"/>
          <w:sz w:val="22"/>
        </w:rPr>
        <w:t xml:space="preserve">broken down into the categories of work to be undertaken - teaching preparation, delivery, assessment and any other related duties. </w:t>
      </w:r>
    </w:p>
    <w:p w14:paraId="7BBFE9C6" w14:textId="6E964EAA" w:rsidR="003E55D5" w:rsidRPr="00436021" w:rsidRDefault="003E55D5" w:rsidP="003E55D5">
      <w:pPr>
        <w:rPr>
          <w:rFonts w:asciiTheme="minorHAnsi" w:hAnsiTheme="minorHAnsi" w:cstheme="minorHAnsi"/>
          <w:sz w:val="22"/>
        </w:rPr>
      </w:pPr>
      <w:r w:rsidRPr="00436021">
        <w:rPr>
          <w:rFonts w:asciiTheme="minorHAnsi" w:hAnsiTheme="minorHAnsi" w:cstheme="minorHAnsi"/>
          <w:sz w:val="22"/>
        </w:rPr>
        <w:t xml:space="preserve">The hourly rate of pay applied to each role relates to the </w:t>
      </w:r>
      <w:hyperlink r:id="rId10" w:history="1">
        <w:r w:rsidRPr="001A12DD">
          <w:rPr>
            <w:rStyle w:val="Hyperlink"/>
            <w:rFonts w:asciiTheme="minorHAnsi" w:hAnsiTheme="minorHAnsi" w:cstheme="minorHAnsi"/>
            <w:sz w:val="22"/>
          </w:rPr>
          <w:t>University grading structure</w:t>
        </w:r>
      </w:hyperlink>
      <w:r w:rsidRPr="00436021">
        <w:rPr>
          <w:rFonts w:asciiTheme="minorHAnsi" w:hAnsiTheme="minorHAnsi" w:cstheme="minorHAnsi"/>
          <w:sz w:val="22"/>
        </w:rPr>
        <w:t>.  In exceptional circumstances an enhanced rate may be applied to the contract, where agreed</w:t>
      </w:r>
      <w:r>
        <w:rPr>
          <w:rFonts w:asciiTheme="minorHAnsi" w:hAnsiTheme="minorHAnsi" w:cstheme="minorHAnsi"/>
          <w:sz w:val="22"/>
        </w:rPr>
        <w:t xml:space="preserve"> by </w:t>
      </w:r>
      <w:r w:rsidR="00605BA9">
        <w:rPr>
          <w:rFonts w:asciiTheme="minorHAnsi" w:hAnsiTheme="minorHAnsi" w:cstheme="minorHAnsi"/>
          <w:sz w:val="22"/>
        </w:rPr>
        <w:t xml:space="preserve">the </w:t>
      </w:r>
      <w:r>
        <w:rPr>
          <w:rFonts w:asciiTheme="minorHAnsi" w:hAnsiTheme="minorHAnsi" w:cstheme="minorHAnsi"/>
          <w:sz w:val="22"/>
        </w:rPr>
        <w:t>HR</w:t>
      </w:r>
      <w:r w:rsidR="00605BA9">
        <w:rPr>
          <w:rFonts w:asciiTheme="minorHAnsi" w:hAnsiTheme="minorHAnsi" w:cstheme="minorHAnsi"/>
          <w:sz w:val="22"/>
        </w:rPr>
        <w:t xml:space="preserve"> Business Partnering Team</w:t>
      </w:r>
      <w:r w:rsidRPr="00436021">
        <w:rPr>
          <w:rFonts w:asciiTheme="minorHAnsi" w:hAnsiTheme="minorHAnsi" w:cstheme="minorHAnsi"/>
          <w:sz w:val="22"/>
        </w:rPr>
        <w:t>.</w:t>
      </w:r>
    </w:p>
    <w:p w14:paraId="0C784226" w14:textId="6F6C99CF" w:rsidR="003E55D5" w:rsidRPr="00436021" w:rsidRDefault="003E55D5" w:rsidP="003E55D5">
      <w:pPr>
        <w:rPr>
          <w:rFonts w:asciiTheme="minorHAnsi" w:hAnsiTheme="minorHAnsi" w:cstheme="minorHAnsi"/>
          <w:sz w:val="22"/>
        </w:rPr>
      </w:pPr>
      <w:r>
        <w:rPr>
          <w:rFonts w:asciiTheme="minorHAnsi" w:hAnsiTheme="minorHAnsi" w:cstheme="minorHAnsi"/>
          <w:sz w:val="22"/>
        </w:rPr>
        <w:t>TSR</w:t>
      </w:r>
      <w:r w:rsidRPr="00436021">
        <w:rPr>
          <w:rFonts w:asciiTheme="minorHAnsi" w:hAnsiTheme="minorHAnsi" w:cstheme="minorHAnsi"/>
          <w:sz w:val="22"/>
        </w:rPr>
        <w:t xml:space="preserve"> contracts are only issued where the contracted hours are for at least 4 consecutive weeks (or every other week for at least 6 weeks), disregarding vacation periods.  Ad hoc teaching for shorter or more intermittent periods is managed via the </w:t>
      </w:r>
      <w:r w:rsidRPr="00436021">
        <w:rPr>
          <w:rStyle w:val="Heading5Char"/>
          <w:rFonts w:asciiTheme="minorHAnsi" w:hAnsiTheme="minorHAnsi" w:cstheme="minorHAnsi"/>
          <w:sz w:val="22"/>
        </w:rPr>
        <w:t xml:space="preserve">Temporary Staffing Service ‘Casual, Academic and Guest’ </w:t>
      </w:r>
      <w:r w:rsidR="002A30BC">
        <w:rPr>
          <w:rStyle w:val="Heading5Char"/>
          <w:rFonts w:asciiTheme="minorHAnsi" w:hAnsiTheme="minorHAnsi" w:cstheme="minorHAnsi"/>
          <w:sz w:val="22"/>
        </w:rPr>
        <w:t xml:space="preserve">(CAG) </w:t>
      </w:r>
      <w:r w:rsidRPr="00436021">
        <w:rPr>
          <w:rFonts w:asciiTheme="minorHAnsi" w:hAnsiTheme="minorHAnsi" w:cstheme="minorHAnsi"/>
          <w:sz w:val="22"/>
        </w:rPr>
        <w:t>process.</w:t>
      </w:r>
    </w:p>
    <w:p w14:paraId="7C8E70F6" w14:textId="5C744099" w:rsidR="003E55D5" w:rsidRPr="00436021" w:rsidRDefault="003E55D5" w:rsidP="003E55D5">
      <w:pPr>
        <w:rPr>
          <w:rFonts w:asciiTheme="minorHAnsi" w:hAnsiTheme="minorHAnsi" w:cstheme="minorHAnsi"/>
          <w:sz w:val="22"/>
        </w:rPr>
      </w:pPr>
      <w:r w:rsidRPr="00436021">
        <w:rPr>
          <w:rFonts w:asciiTheme="minorHAnsi" w:hAnsiTheme="minorHAnsi" w:cstheme="minorHAnsi"/>
          <w:sz w:val="22"/>
        </w:rPr>
        <w:t xml:space="preserve">Where contract hours are substantial (at least 310) and the work is ongoing, a fractional contract may be more appropriate. See the </w:t>
      </w:r>
      <w:hyperlink r:id="rId11" w:history="1">
        <w:r w:rsidRPr="00E64BFB">
          <w:rPr>
            <w:rStyle w:val="Hyperlink"/>
            <w:rFonts w:asciiTheme="minorHAnsi" w:hAnsiTheme="minorHAnsi" w:cstheme="minorHAnsi"/>
            <w:sz w:val="22"/>
          </w:rPr>
          <w:t>Policy for the Transfer of Teaching Support Staff to Fractional Contracts (Part-Time Teachers)</w:t>
        </w:r>
      </w:hyperlink>
      <w:r w:rsidRPr="00436021">
        <w:rPr>
          <w:rFonts w:asciiTheme="minorHAnsi" w:hAnsiTheme="minorHAnsi" w:cstheme="minorHAnsi"/>
          <w:sz w:val="22"/>
        </w:rPr>
        <w:t xml:space="preserve"> for further details.</w:t>
      </w:r>
    </w:p>
    <w:p w14:paraId="659722C0" w14:textId="77777777" w:rsidR="003E55D5" w:rsidRPr="00436021" w:rsidRDefault="003E55D5" w:rsidP="003E55D5">
      <w:pPr>
        <w:rPr>
          <w:rFonts w:asciiTheme="minorHAnsi" w:hAnsiTheme="minorHAnsi" w:cstheme="minorHAnsi"/>
          <w:sz w:val="22"/>
        </w:rPr>
      </w:pPr>
    </w:p>
    <w:p w14:paraId="721D07AC" w14:textId="77777777" w:rsidR="003E55D5" w:rsidRPr="00436021" w:rsidRDefault="003E55D5" w:rsidP="003E55D5">
      <w:pPr>
        <w:pStyle w:val="Heading2"/>
      </w:pPr>
      <w:bookmarkStart w:id="2" w:name="_Toc177982916"/>
      <w:r w:rsidRPr="00436021">
        <w:t>Roles and Pay</w:t>
      </w:r>
      <w:bookmarkEnd w:id="2"/>
    </w:p>
    <w:p w14:paraId="438F9D1B" w14:textId="2A163867" w:rsidR="003E55D5" w:rsidRDefault="3683FC86" w:rsidP="00541B9E">
      <w:pPr>
        <w:rPr>
          <w:rFonts w:asciiTheme="minorHAnsi" w:hAnsiTheme="minorHAnsi" w:cstheme="minorHAnsi"/>
          <w:sz w:val="22"/>
        </w:rPr>
      </w:pPr>
      <w:r w:rsidRPr="00541B9E">
        <w:rPr>
          <w:rFonts w:asciiTheme="minorHAnsi" w:hAnsiTheme="minorHAnsi"/>
          <w:sz w:val="22"/>
        </w:rPr>
        <w:t>TSRs</w:t>
      </w:r>
      <w:r w:rsidRPr="78DE4EE1">
        <w:rPr>
          <w:rFonts w:asciiTheme="minorHAnsi" w:hAnsiTheme="minorHAnsi"/>
          <w:sz w:val="22"/>
        </w:rPr>
        <w:t xml:space="preserve"> are employed for an agreed number of hours of work and are paid according to the pay rate which has been determined through UBJES evaluation for one of nine distinct </w:t>
      </w:r>
      <w:hyperlink r:id="rId12">
        <w:r w:rsidRPr="78DE4EE1">
          <w:rPr>
            <w:rStyle w:val="Hyperlink"/>
            <w:rFonts w:asciiTheme="minorHAnsi" w:hAnsiTheme="minorHAnsi"/>
            <w:sz w:val="22"/>
          </w:rPr>
          <w:t>role profiles</w:t>
        </w:r>
      </w:hyperlink>
      <w:r w:rsidRPr="78DE4EE1">
        <w:rPr>
          <w:rFonts w:asciiTheme="minorHAnsi" w:hAnsiTheme="minorHAnsi"/>
          <w:sz w:val="22"/>
        </w:rPr>
        <w:t>, called descriptors.</w:t>
      </w:r>
    </w:p>
    <w:p w14:paraId="4786E286" w14:textId="28BD4F93" w:rsidR="007B5C96" w:rsidRDefault="007B5C96" w:rsidP="007B5C96">
      <w:pPr>
        <w:rPr>
          <w:rFonts w:asciiTheme="minorHAnsi" w:hAnsiTheme="minorHAnsi" w:cstheme="minorHAnsi"/>
          <w:sz w:val="22"/>
        </w:rPr>
      </w:pPr>
      <w:r w:rsidRPr="00436021">
        <w:rPr>
          <w:rFonts w:asciiTheme="minorHAnsi" w:hAnsiTheme="minorHAnsi" w:cstheme="minorHAnsi"/>
          <w:sz w:val="22"/>
        </w:rPr>
        <w:t>The pay rate is pre-determined according to the role appointed, however the School</w:t>
      </w:r>
      <w:r w:rsidR="005339D0">
        <w:rPr>
          <w:rFonts w:asciiTheme="minorHAnsi" w:hAnsiTheme="minorHAnsi" w:cstheme="minorHAnsi"/>
          <w:sz w:val="22"/>
        </w:rPr>
        <w:t xml:space="preserve"> </w:t>
      </w:r>
      <w:r w:rsidRPr="00436021">
        <w:rPr>
          <w:rFonts w:asciiTheme="minorHAnsi" w:hAnsiTheme="minorHAnsi" w:cstheme="minorHAnsi"/>
          <w:sz w:val="22"/>
        </w:rPr>
        <w:t>/</w:t>
      </w:r>
      <w:r w:rsidR="005339D0">
        <w:rPr>
          <w:rFonts w:asciiTheme="minorHAnsi" w:hAnsiTheme="minorHAnsi" w:cstheme="minorHAnsi"/>
          <w:sz w:val="22"/>
        </w:rPr>
        <w:t xml:space="preserve"> </w:t>
      </w:r>
      <w:r w:rsidRPr="00436021">
        <w:rPr>
          <w:rFonts w:asciiTheme="minorHAnsi" w:hAnsiTheme="minorHAnsi" w:cstheme="minorHAnsi"/>
          <w:sz w:val="22"/>
        </w:rPr>
        <w:t xml:space="preserve">Section Manager may exceptionally pay a market rate (providing that prior agreement has been reached with </w:t>
      </w:r>
      <w:r>
        <w:rPr>
          <w:rFonts w:asciiTheme="minorHAnsi" w:hAnsiTheme="minorHAnsi" w:cstheme="minorHAnsi"/>
          <w:sz w:val="22"/>
        </w:rPr>
        <w:t xml:space="preserve">the HR Business Partnering Team and </w:t>
      </w:r>
      <w:r w:rsidRPr="00436021">
        <w:rPr>
          <w:rFonts w:asciiTheme="minorHAnsi" w:hAnsiTheme="minorHAnsi" w:cstheme="minorHAnsi"/>
          <w:sz w:val="22"/>
        </w:rPr>
        <w:t>the Faculty Manager), to ensure a consistent approach.</w:t>
      </w:r>
    </w:p>
    <w:p w14:paraId="778ADE9C" w14:textId="4FF1AF8E" w:rsidR="003E55D5" w:rsidRPr="00436021" w:rsidRDefault="003E55D5" w:rsidP="003E55D5">
      <w:pPr>
        <w:rPr>
          <w:rFonts w:asciiTheme="minorHAnsi" w:hAnsiTheme="minorHAnsi" w:cstheme="minorHAnsi"/>
          <w:sz w:val="22"/>
        </w:rPr>
      </w:pPr>
      <w:bookmarkStart w:id="3" w:name="_Hlk127969480"/>
      <w:r>
        <w:rPr>
          <w:rFonts w:asciiTheme="minorHAnsi" w:hAnsiTheme="minorHAnsi" w:cstheme="minorHAnsi"/>
          <w:sz w:val="22"/>
        </w:rPr>
        <w:t>TSR</w:t>
      </w:r>
      <w:r w:rsidRPr="00436021">
        <w:rPr>
          <w:rFonts w:asciiTheme="minorHAnsi" w:hAnsiTheme="minorHAnsi" w:cstheme="minorHAnsi"/>
          <w:sz w:val="22"/>
        </w:rPr>
        <w:t xml:space="preserve">s are paid for each hour of teaching delivery, preparation, assessment and related duties at the same hourly rate.  For the current associated rates of pay, </w:t>
      </w:r>
      <w:r w:rsidR="001B678B">
        <w:rPr>
          <w:rFonts w:asciiTheme="minorHAnsi" w:hAnsiTheme="minorHAnsi" w:cstheme="minorHAnsi"/>
          <w:sz w:val="22"/>
        </w:rPr>
        <w:t xml:space="preserve">please </w:t>
      </w:r>
      <w:r w:rsidRPr="00436021">
        <w:rPr>
          <w:rFonts w:asciiTheme="minorHAnsi" w:hAnsiTheme="minorHAnsi" w:cstheme="minorHAnsi"/>
          <w:sz w:val="22"/>
        </w:rPr>
        <w:t xml:space="preserve">see </w:t>
      </w:r>
      <w:hyperlink r:id="rId13" w:history="1">
        <w:r w:rsidRPr="00CB0567">
          <w:rPr>
            <w:rStyle w:val="Hyperlink"/>
            <w:rFonts w:asciiTheme="minorHAnsi" w:hAnsiTheme="minorHAnsi" w:cstheme="minorHAnsi"/>
            <w:sz w:val="22"/>
          </w:rPr>
          <w:t>TSR Pay Rates</w:t>
        </w:r>
      </w:hyperlink>
      <w:r w:rsidRPr="00436021">
        <w:rPr>
          <w:rFonts w:asciiTheme="minorHAnsi" w:hAnsiTheme="minorHAnsi" w:cstheme="minorHAnsi"/>
          <w:sz w:val="22"/>
        </w:rPr>
        <w:t>.</w:t>
      </w:r>
    </w:p>
    <w:p w14:paraId="258B03A7" w14:textId="0B0E3F2B" w:rsidR="003E55D5" w:rsidRDefault="003E55D5" w:rsidP="003E55D5">
      <w:pPr>
        <w:rPr>
          <w:rFonts w:asciiTheme="minorHAnsi" w:hAnsiTheme="minorHAnsi" w:cstheme="minorHAnsi"/>
          <w:sz w:val="22"/>
        </w:rPr>
      </w:pPr>
      <w:r w:rsidRPr="004B4313">
        <w:rPr>
          <w:rFonts w:asciiTheme="minorHAnsi" w:hAnsiTheme="minorHAnsi" w:cstheme="minorHAnsi"/>
          <w:sz w:val="22"/>
        </w:rPr>
        <w:t xml:space="preserve">TSRs do not receive incremental progression, however </w:t>
      </w:r>
      <w:r w:rsidR="00F433B7" w:rsidRPr="004B4313">
        <w:rPr>
          <w:rFonts w:asciiTheme="minorHAnsi" w:hAnsiTheme="minorHAnsi" w:cstheme="minorHAnsi"/>
          <w:sz w:val="22"/>
        </w:rPr>
        <w:t xml:space="preserve">to acknowledge the level of experience being brought to these roles </w:t>
      </w:r>
      <w:r w:rsidRPr="004B4313">
        <w:rPr>
          <w:rFonts w:asciiTheme="minorHAnsi" w:hAnsiTheme="minorHAnsi" w:cstheme="minorHAnsi"/>
          <w:sz w:val="22"/>
        </w:rPr>
        <w:t>the hourly rates for all roles</w:t>
      </w:r>
      <w:r w:rsidR="009B1F23" w:rsidRPr="004B4313">
        <w:rPr>
          <w:rFonts w:asciiTheme="minorHAnsi" w:hAnsiTheme="minorHAnsi" w:cstheme="minorHAnsi"/>
          <w:sz w:val="22"/>
        </w:rPr>
        <w:t xml:space="preserve"> </w:t>
      </w:r>
      <w:r w:rsidRPr="004B4313">
        <w:rPr>
          <w:rFonts w:asciiTheme="minorHAnsi" w:hAnsiTheme="minorHAnsi" w:cstheme="minorHAnsi"/>
          <w:sz w:val="22"/>
        </w:rPr>
        <w:t xml:space="preserve">are derived from </w:t>
      </w:r>
      <w:r w:rsidR="004B4313">
        <w:rPr>
          <w:rFonts w:asciiTheme="minorHAnsi" w:hAnsiTheme="minorHAnsi" w:cstheme="minorHAnsi"/>
          <w:sz w:val="22"/>
        </w:rPr>
        <w:t xml:space="preserve">the mid </w:t>
      </w:r>
      <w:r w:rsidR="00361E4F" w:rsidRPr="004B4313">
        <w:rPr>
          <w:rFonts w:asciiTheme="minorHAnsi" w:hAnsiTheme="minorHAnsi" w:cstheme="minorHAnsi"/>
          <w:sz w:val="22"/>
        </w:rPr>
        <w:t xml:space="preserve">spine </w:t>
      </w:r>
      <w:r w:rsidR="000C3850" w:rsidRPr="004B4313">
        <w:rPr>
          <w:rFonts w:asciiTheme="minorHAnsi" w:hAnsiTheme="minorHAnsi" w:cstheme="minorHAnsi"/>
          <w:sz w:val="22"/>
        </w:rPr>
        <w:t xml:space="preserve">point of the </w:t>
      </w:r>
      <w:r w:rsidR="00361E4F" w:rsidRPr="004B4313">
        <w:rPr>
          <w:rFonts w:asciiTheme="minorHAnsi" w:hAnsiTheme="minorHAnsi" w:cstheme="minorHAnsi"/>
          <w:sz w:val="22"/>
        </w:rPr>
        <w:lastRenderedPageBreak/>
        <w:t>relevant grade</w:t>
      </w:r>
      <w:r w:rsidRPr="004B4313">
        <w:rPr>
          <w:rFonts w:asciiTheme="minorHAnsi" w:hAnsiTheme="minorHAnsi" w:cstheme="minorHAnsi"/>
          <w:sz w:val="22"/>
        </w:rPr>
        <w:t>. As the</w:t>
      </w:r>
      <w:r w:rsidRPr="00436021">
        <w:rPr>
          <w:rFonts w:asciiTheme="minorHAnsi" w:hAnsiTheme="minorHAnsi" w:cstheme="minorHAnsi"/>
          <w:sz w:val="22"/>
        </w:rPr>
        <w:t xml:space="preserve"> hourly rates are based on the current </w:t>
      </w:r>
      <w:hyperlink r:id="rId14" w:history="1">
        <w:r w:rsidRPr="001B3DD7">
          <w:rPr>
            <w:rStyle w:val="Hyperlink"/>
            <w:rFonts w:asciiTheme="minorHAnsi" w:hAnsiTheme="minorHAnsi" w:cstheme="minorHAnsi"/>
            <w:sz w:val="22"/>
          </w:rPr>
          <w:t>University of Bristol Grade structure</w:t>
        </w:r>
      </w:hyperlink>
      <w:r w:rsidRPr="00436021">
        <w:rPr>
          <w:rFonts w:asciiTheme="minorHAnsi" w:hAnsiTheme="minorHAnsi" w:cstheme="minorHAnsi"/>
          <w:sz w:val="22"/>
        </w:rPr>
        <w:t>, they are subject to change with pay awards.</w:t>
      </w:r>
    </w:p>
    <w:p w14:paraId="401381FF" w14:textId="72954981" w:rsidR="00E524B7" w:rsidRPr="00794E47" w:rsidRDefault="00E524B7" w:rsidP="00E524B7">
      <w:pPr>
        <w:rPr>
          <w:rFonts w:asciiTheme="minorHAnsi" w:hAnsiTheme="minorHAnsi" w:cstheme="minorHAnsi"/>
          <w:sz w:val="22"/>
        </w:rPr>
      </w:pPr>
      <w:r w:rsidRPr="00794E47">
        <w:rPr>
          <w:rFonts w:asciiTheme="minorHAnsi" w:hAnsiTheme="minorHAnsi" w:cstheme="minorHAnsi"/>
          <w:sz w:val="22"/>
        </w:rPr>
        <w:t xml:space="preserve">A Graduate Teacher Level 1 may be able to progress in their second year of teaching to Graduate Teacher </w:t>
      </w:r>
      <w:r w:rsidR="00BC75D3">
        <w:rPr>
          <w:rFonts w:asciiTheme="minorHAnsi" w:hAnsiTheme="minorHAnsi" w:cstheme="minorHAnsi"/>
          <w:sz w:val="22"/>
        </w:rPr>
        <w:t>L</w:t>
      </w:r>
      <w:r w:rsidRPr="00794E47">
        <w:rPr>
          <w:rFonts w:asciiTheme="minorHAnsi" w:hAnsiTheme="minorHAnsi" w:cstheme="minorHAnsi"/>
          <w:sz w:val="22"/>
        </w:rPr>
        <w:t>evel 2 if the following criteria is met:</w:t>
      </w:r>
    </w:p>
    <w:p w14:paraId="476EFCE9" w14:textId="7113AF05" w:rsidR="00E524B7" w:rsidRPr="00794E47" w:rsidRDefault="00E524B7" w:rsidP="00E524B7">
      <w:pPr>
        <w:pStyle w:val="ListParagraph"/>
        <w:numPr>
          <w:ilvl w:val="0"/>
          <w:numId w:val="8"/>
        </w:numPr>
        <w:rPr>
          <w:rFonts w:asciiTheme="minorHAnsi" w:hAnsiTheme="minorHAnsi" w:cstheme="minorHAnsi"/>
          <w:sz w:val="22"/>
        </w:rPr>
      </w:pPr>
      <w:r w:rsidRPr="00794E47">
        <w:rPr>
          <w:rFonts w:asciiTheme="minorHAnsi" w:hAnsiTheme="minorHAnsi" w:cstheme="minorHAnsi"/>
          <w:sz w:val="22"/>
        </w:rPr>
        <w:t>The School / Department has need for a role at a higher level</w:t>
      </w:r>
    </w:p>
    <w:p w14:paraId="07E9585B" w14:textId="37C09D31" w:rsidR="00E524B7" w:rsidRPr="00794E47" w:rsidRDefault="00E524B7" w:rsidP="00E524B7">
      <w:pPr>
        <w:pStyle w:val="ListParagraph"/>
        <w:numPr>
          <w:ilvl w:val="0"/>
          <w:numId w:val="8"/>
        </w:numPr>
        <w:rPr>
          <w:rFonts w:asciiTheme="minorHAnsi" w:hAnsiTheme="minorHAnsi" w:cstheme="minorHAnsi"/>
          <w:sz w:val="22"/>
        </w:rPr>
      </w:pPr>
      <w:r w:rsidRPr="00794E47">
        <w:rPr>
          <w:rFonts w:asciiTheme="minorHAnsi" w:hAnsiTheme="minorHAnsi" w:cstheme="minorHAnsi"/>
          <w:sz w:val="22"/>
        </w:rPr>
        <w:t>The TSR has successfully completed all mandatory training</w:t>
      </w:r>
    </w:p>
    <w:p w14:paraId="1DEF4924" w14:textId="33EC6300" w:rsidR="00E524B7" w:rsidRPr="00794E47" w:rsidRDefault="00E524B7" w:rsidP="00E524B7">
      <w:pPr>
        <w:pStyle w:val="ListParagraph"/>
        <w:numPr>
          <w:ilvl w:val="0"/>
          <w:numId w:val="8"/>
        </w:numPr>
        <w:rPr>
          <w:rFonts w:asciiTheme="minorHAnsi" w:hAnsiTheme="minorHAnsi" w:cstheme="minorHAnsi"/>
          <w:sz w:val="22"/>
        </w:rPr>
      </w:pPr>
      <w:r w:rsidRPr="00794E47">
        <w:rPr>
          <w:rFonts w:asciiTheme="minorHAnsi" w:hAnsiTheme="minorHAnsi" w:cstheme="minorHAnsi"/>
          <w:sz w:val="22"/>
        </w:rPr>
        <w:t>Their observation and student feedback scores are acceptable</w:t>
      </w:r>
    </w:p>
    <w:p w14:paraId="7FD5B8C0" w14:textId="0E9ED3D7" w:rsidR="00E524B7" w:rsidRPr="00794E47" w:rsidRDefault="00E524B7" w:rsidP="00E524B7">
      <w:pPr>
        <w:pStyle w:val="ListParagraph"/>
        <w:numPr>
          <w:ilvl w:val="0"/>
          <w:numId w:val="8"/>
        </w:numPr>
        <w:rPr>
          <w:rFonts w:asciiTheme="minorHAnsi" w:hAnsiTheme="minorHAnsi" w:cstheme="minorHAnsi"/>
          <w:sz w:val="22"/>
        </w:rPr>
      </w:pPr>
      <w:r w:rsidRPr="00794E47">
        <w:rPr>
          <w:rFonts w:asciiTheme="minorHAnsi" w:hAnsiTheme="minorHAnsi" w:cstheme="minorHAnsi"/>
          <w:sz w:val="22"/>
        </w:rPr>
        <w:t>They wish to continue teaching for a further year</w:t>
      </w:r>
    </w:p>
    <w:bookmarkEnd w:id="3"/>
    <w:p w14:paraId="6117F69B" w14:textId="66D07E2C" w:rsidR="003E55D5" w:rsidRPr="00436021" w:rsidRDefault="003E55D5" w:rsidP="003E55D5">
      <w:pPr>
        <w:rPr>
          <w:rFonts w:asciiTheme="minorHAnsi" w:hAnsiTheme="minorHAnsi" w:cstheme="minorHAnsi"/>
          <w:sz w:val="22"/>
        </w:rPr>
      </w:pPr>
    </w:p>
    <w:p w14:paraId="6F5C8973" w14:textId="77777777" w:rsidR="003E55D5" w:rsidRPr="00436021" w:rsidRDefault="003E55D5" w:rsidP="003E55D5">
      <w:pPr>
        <w:pStyle w:val="Heading2"/>
      </w:pPr>
      <w:bookmarkStart w:id="4" w:name="_Toc177982917"/>
      <w:r w:rsidRPr="00436021">
        <w:t>Terms &amp; Conditions</w:t>
      </w:r>
      <w:bookmarkEnd w:id="4"/>
    </w:p>
    <w:p w14:paraId="4C11E541" w14:textId="3C0FF238" w:rsidR="003E55D5" w:rsidRPr="00436021" w:rsidRDefault="003E55D5" w:rsidP="003E55D5">
      <w:pPr>
        <w:rPr>
          <w:rFonts w:asciiTheme="minorHAnsi" w:hAnsiTheme="minorHAnsi" w:cstheme="minorHAnsi"/>
          <w:sz w:val="22"/>
        </w:rPr>
      </w:pPr>
      <w:r>
        <w:rPr>
          <w:rFonts w:asciiTheme="minorHAnsi" w:hAnsiTheme="minorHAnsi" w:cstheme="minorHAnsi"/>
          <w:sz w:val="22"/>
        </w:rPr>
        <w:t>TSRs</w:t>
      </w:r>
      <w:r w:rsidRPr="00436021">
        <w:rPr>
          <w:rFonts w:asciiTheme="minorHAnsi" w:hAnsiTheme="minorHAnsi" w:cstheme="minorHAnsi"/>
          <w:sz w:val="22"/>
        </w:rPr>
        <w:t xml:space="preserve"> have some different terms and conditions to </w:t>
      </w:r>
      <w:r w:rsidR="00A644D8">
        <w:rPr>
          <w:rFonts w:asciiTheme="minorHAnsi" w:hAnsiTheme="minorHAnsi" w:cstheme="minorHAnsi"/>
          <w:sz w:val="22"/>
        </w:rPr>
        <w:t>m</w:t>
      </w:r>
      <w:r w:rsidRPr="00436021">
        <w:rPr>
          <w:rFonts w:asciiTheme="minorHAnsi" w:hAnsiTheme="minorHAnsi" w:cstheme="minorHAnsi"/>
          <w:sz w:val="22"/>
        </w:rPr>
        <w:t xml:space="preserve">ain staff (particularly in relation to annual leave, notice periods and sickness).  </w:t>
      </w:r>
      <w:r>
        <w:rPr>
          <w:rFonts w:asciiTheme="minorHAnsi" w:hAnsiTheme="minorHAnsi" w:cstheme="minorHAnsi"/>
          <w:sz w:val="22"/>
        </w:rPr>
        <w:t>TSRs</w:t>
      </w:r>
      <w:r w:rsidRPr="00436021">
        <w:rPr>
          <w:rFonts w:asciiTheme="minorHAnsi" w:hAnsiTheme="minorHAnsi" w:cstheme="minorHAnsi"/>
          <w:sz w:val="22"/>
        </w:rPr>
        <w:t xml:space="preserve"> are not issued with a separate T&amp;Cs booklet; their T&amp;Cs are contained within the contract itself.</w:t>
      </w:r>
    </w:p>
    <w:p w14:paraId="2970455D" w14:textId="36F3DEAE" w:rsidR="002606B7" w:rsidRPr="00297887" w:rsidRDefault="002606B7" w:rsidP="002606B7">
      <w:pPr>
        <w:rPr>
          <w:rFonts w:asciiTheme="minorHAnsi" w:hAnsiTheme="minorHAnsi" w:cstheme="minorHAnsi"/>
          <w:sz w:val="22"/>
        </w:rPr>
      </w:pPr>
      <w:r w:rsidRPr="00297887">
        <w:rPr>
          <w:rFonts w:asciiTheme="minorHAnsi" w:hAnsiTheme="minorHAnsi" w:cstheme="minorHAnsi"/>
          <w:sz w:val="22"/>
        </w:rPr>
        <w:t xml:space="preserve">If an individual wishes to resign from their Teaching Support Role before the end of their assignment, they will need to give the University one months’ notice in writing, which should be sent to the local School / Section contact copied to the </w:t>
      </w:r>
      <w:hyperlink r:id="rId15" w:history="1">
        <w:r w:rsidRPr="003354EB">
          <w:rPr>
            <w:rStyle w:val="Hyperlink"/>
            <w:rFonts w:asciiTheme="minorHAnsi" w:hAnsiTheme="minorHAnsi" w:cstheme="minorHAnsi"/>
            <w:sz w:val="22"/>
          </w:rPr>
          <w:t>TSR Enquiries mailbox</w:t>
        </w:r>
      </w:hyperlink>
      <w:r w:rsidRPr="00297887">
        <w:rPr>
          <w:rFonts w:asciiTheme="minorHAnsi" w:hAnsiTheme="minorHAnsi" w:cstheme="minorHAnsi"/>
          <w:sz w:val="22"/>
        </w:rPr>
        <w:t>.</w:t>
      </w:r>
    </w:p>
    <w:p w14:paraId="478186B6" w14:textId="5321CB43" w:rsidR="002606B7" w:rsidRPr="00297887" w:rsidRDefault="002606B7" w:rsidP="002606B7">
      <w:pPr>
        <w:rPr>
          <w:rFonts w:asciiTheme="minorHAnsi" w:hAnsiTheme="minorHAnsi" w:cstheme="minorHAnsi"/>
          <w:sz w:val="22"/>
        </w:rPr>
      </w:pPr>
      <w:r w:rsidRPr="00297887">
        <w:rPr>
          <w:rFonts w:asciiTheme="minorHAnsi" w:hAnsiTheme="minorHAnsi" w:cstheme="minorHAnsi"/>
          <w:sz w:val="22"/>
        </w:rPr>
        <w:t>If a School / Section wishes to end a TSR contract at any other time than the expected end date, the individual is entitled to one months’ notice.</w:t>
      </w:r>
    </w:p>
    <w:p w14:paraId="2026D75F" w14:textId="1589A395" w:rsidR="003E55D5" w:rsidRPr="00436021" w:rsidRDefault="00DD0E6B" w:rsidP="003E55D5">
      <w:pPr>
        <w:pStyle w:val="Heading1"/>
        <w:rPr>
          <w:szCs w:val="22"/>
        </w:rPr>
      </w:pPr>
      <w:bookmarkStart w:id="5" w:name="_Toc177982918"/>
      <w:r>
        <w:lastRenderedPageBreak/>
        <w:t xml:space="preserve">Recruitment &amp; </w:t>
      </w:r>
      <w:r w:rsidR="003E55D5">
        <w:t>Appoint</w:t>
      </w:r>
      <w:r>
        <w:t xml:space="preserve">ment of </w:t>
      </w:r>
      <w:r w:rsidR="003E55D5">
        <w:t>TSRs</w:t>
      </w:r>
      <w:bookmarkEnd w:id="5"/>
    </w:p>
    <w:p w14:paraId="0D21224B" w14:textId="77777777" w:rsidR="003E55D5" w:rsidRDefault="003E55D5" w:rsidP="003E55D5">
      <w:pPr>
        <w:rPr>
          <w:rFonts w:asciiTheme="minorHAnsi" w:hAnsiTheme="minorHAnsi" w:cstheme="minorHAnsi"/>
          <w:b/>
          <w:sz w:val="22"/>
        </w:rPr>
      </w:pPr>
    </w:p>
    <w:p w14:paraId="4B2D555C" w14:textId="00848494" w:rsidR="003E55D5" w:rsidRDefault="003E55D5" w:rsidP="003E55D5">
      <w:pPr>
        <w:pStyle w:val="Heading2"/>
      </w:pPr>
      <w:bookmarkStart w:id="6" w:name="_Toc177982919"/>
      <w:r>
        <w:t>Identification of TSR</w:t>
      </w:r>
      <w:r w:rsidRPr="00436021">
        <w:rPr>
          <w:szCs w:val="22"/>
        </w:rPr>
        <w:t xml:space="preserve"> Requirement</w:t>
      </w:r>
      <w:r>
        <w:t>s &amp; Recruitment of TSRs</w:t>
      </w:r>
      <w:bookmarkEnd w:id="6"/>
    </w:p>
    <w:p w14:paraId="5DC9FBA5" w14:textId="5201A405" w:rsidR="00DD0E6B" w:rsidRPr="00DD0E6B" w:rsidRDefault="00DD0E6B" w:rsidP="00DD0E6B">
      <w:pPr>
        <w:spacing w:line="276" w:lineRule="auto"/>
        <w:rPr>
          <w:rFonts w:asciiTheme="minorHAnsi" w:hAnsiTheme="minorHAnsi" w:cstheme="minorHAnsi"/>
          <w:sz w:val="22"/>
        </w:rPr>
      </w:pPr>
      <w:r w:rsidRPr="00DD0E6B">
        <w:rPr>
          <w:rFonts w:asciiTheme="minorHAnsi" w:hAnsiTheme="minorHAnsi" w:cstheme="minorHAnsi"/>
          <w:sz w:val="22"/>
        </w:rPr>
        <w:t xml:space="preserve">The University is committed to ensuring that employment opportunities are offered fairly and transparently as part of its diversity and inclusion strategy.  </w:t>
      </w:r>
      <w:r w:rsidR="00154D46" w:rsidRPr="00F428D5">
        <w:rPr>
          <w:rFonts w:asciiTheme="minorHAnsi" w:hAnsiTheme="minorHAnsi" w:cstheme="minorHAnsi"/>
          <w:sz w:val="22"/>
        </w:rPr>
        <w:t xml:space="preserve">Each Spring </w:t>
      </w:r>
      <w:r w:rsidR="00573E05">
        <w:rPr>
          <w:rFonts w:asciiTheme="minorHAnsi" w:hAnsiTheme="minorHAnsi" w:cstheme="minorHAnsi"/>
          <w:sz w:val="22"/>
        </w:rPr>
        <w:t>School</w:t>
      </w:r>
      <w:r w:rsidR="00B26172">
        <w:rPr>
          <w:rFonts w:asciiTheme="minorHAnsi" w:hAnsiTheme="minorHAnsi" w:cstheme="minorHAnsi"/>
          <w:sz w:val="22"/>
        </w:rPr>
        <w:t>s</w:t>
      </w:r>
      <w:r w:rsidR="00573E05">
        <w:rPr>
          <w:rFonts w:asciiTheme="minorHAnsi" w:hAnsiTheme="minorHAnsi" w:cstheme="minorHAnsi"/>
          <w:sz w:val="22"/>
        </w:rPr>
        <w:t xml:space="preserve"> will agree a centralised timeline for the </w:t>
      </w:r>
      <w:r w:rsidR="00AF28BF">
        <w:rPr>
          <w:rFonts w:asciiTheme="minorHAnsi" w:hAnsiTheme="minorHAnsi" w:cstheme="minorHAnsi"/>
          <w:sz w:val="22"/>
        </w:rPr>
        <w:t>end-to-end</w:t>
      </w:r>
      <w:r w:rsidR="00573E05">
        <w:rPr>
          <w:rFonts w:asciiTheme="minorHAnsi" w:hAnsiTheme="minorHAnsi" w:cstheme="minorHAnsi"/>
          <w:sz w:val="22"/>
        </w:rPr>
        <w:t xml:space="preserve"> recruitment process for </w:t>
      </w:r>
      <w:r w:rsidR="00B26172">
        <w:rPr>
          <w:rFonts w:asciiTheme="minorHAnsi" w:hAnsiTheme="minorHAnsi" w:cstheme="minorHAnsi"/>
          <w:sz w:val="22"/>
        </w:rPr>
        <w:t>t</w:t>
      </w:r>
      <w:r w:rsidR="00573E05">
        <w:rPr>
          <w:rFonts w:asciiTheme="minorHAnsi" w:hAnsiTheme="minorHAnsi" w:cstheme="minorHAnsi"/>
          <w:sz w:val="22"/>
        </w:rPr>
        <w:t xml:space="preserve">eaching </w:t>
      </w:r>
      <w:r w:rsidR="00B26172">
        <w:rPr>
          <w:rFonts w:asciiTheme="minorHAnsi" w:hAnsiTheme="minorHAnsi" w:cstheme="minorHAnsi"/>
          <w:sz w:val="22"/>
        </w:rPr>
        <w:t>s</w:t>
      </w:r>
      <w:r w:rsidR="00573E05">
        <w:rPr>
          <w:rFonts w:asciiTheme="minorHAnsi" w:hAnsiTheme="minorHAnsi" w:cstheme="minorHAnsi"/>
          <w:sz w:val="22"/>
        </w:rPr>
        <w:t xml:space="preserve">upport roles for the upcoming academic year. </w:t>
      </w:r>
      <w:r w:rsidR="00B26172">
        <w:rPr>
          <w:rFonts w:asciiTheme="minorHAnsi" w:hAnsiTheme="minorHAnsi" w:cstheme="minorHAnsi"/>
          <w:sz w:val="22"/>
        </w:rPr>
        <w:t>F</w:t>
      </w:r>
      <w:r w:rsidR="00573E05">
        <w:rPr>
          <w:rFonts w:asciiTheme="minorHAnsi" w:hAnsiTheme="minorHAnsi" w:cstheme="minorHAnsi"/>
          <w:sz w:val="22"/>
        </w:rPr>
        <w:t xml:space="preserve">orecasted volumes based on previous year’s intake </w:t>
      </w:r>
      <w:r w:rsidR="00B26172">
        <w:rPr>
          <w:rFonts w:asciiTheme="minorHAnsi" w:hAnsiTheme="minorHAnsi" w:cstheme="minorHAnsi"/>
          <w:sz w:val="22"/>
        </w:rPr>
        <w:t>will be used to</w:t>
      </w:r>
      <w:r w:rsidR="00AF28BF">
        <w:rPr>
          <w:rFonts w:asciiTheme="minorHAnsi" w:hAnsiTheme="minorHAnsi" w:cstheme="minorHAnsi"/>
          <w:sz w:val="22"/>
        </w:rPr>
        <w:t xml:space="preserve"> agree advertising dates, review of extensions of current TSRs, submission deadline dates and contract start dates. Based on the timelines agreed with </w:t>
      </w:r>
      <w:r>
        <w:rPr>
          <w:rFonts w:asciiTheme="minorHAnsi" w:hAnsiTheme="minorHAnsi" w:cstheme="minorHAnsi"/>
          <w:sz w:val="22"/>
        </w:rPr>
        <w:t xml:space="preserve">each </w:t>
      </w:r>
      <w:r w:rsidR="00AF28BF">
        <w:rPr>
          <w:rFonts w:asciiTheme="minorHAnsi" w:hAnsiTheme="minorHAnsi" w:cstheme="minorHAnsi"/>
          <w:sz w:val="22"/>
        </w:rPr>
        <w:t>School</w:t>
      </w:r>
      <w:r w:rsidRPr="00DD0E6B">
        <w:rPr>
          <w:rFonts w:asciiTheme="minorHAnsi" w:hAnsiTheme="minorHAnsi" w:cstheme="minorHAnsi"/>
          <w:sz w:val="22"/>
        </w:rPr>
        <w:t xml:space="preserve">, </w:t>
      </w:r>
      <w:r w:rsidR="00573E05">
        <w:rPr>
          <w:rFonts w:asciiTheme="minorHAnsi" w:hAnsiTheme="minorHAnsi" w:cstheme="minorHAnsi"/>
          <w:sz w:val="22"/>
        </w:rPr>
        <w:t xml:space="preserve">the </w:t>
      </w:r>
      <w:r w:rsidRPr="00DD0E6B">
        <w:rPr>
          <w:rFonts w:asciiTheme="minorHAnsi" w:hAnsiTheme="minorHAnsi" w:cstheme="minorHAnsi"/>
          <w:sz w:val="22"/>
        </w:rPr>
        <w:t>Resourc</w:t>
      </w:r>
      <w:r w:rsidR="00573E05">
        <w:rPr>
          <w:rFonts w:asciiTheme="minorHAnsi" w:hAnsiTheme="minorHAnsi" w:cstheme="minorHAnsi"/>
          <w:sz w:val="22"/>
        </w:rPr>
        <w:t>ing Team</w:t>
      </w:r>
      <w:r w:rsidRPr="00DD0E6B">
        <w:rPr>
          <w:rFonts w:asciiTheme="minorHAnsi" w:hAnsiTheme="minorHAnsi" w:cstheme="minorHAnsi"/>
          <w:sz w:val="22"/>
        </w:rPr>
        <w:t xml:space="preserve"> will initiate a generic advert to promote Teaching Support opportunities for the next academic year for each School</w:t>
      </w:r>
      <w:r>
        <w:rPr>
          <w:rFonts w:asciiTheme="minorHAnsi" w:hAnsiTheme="minorHAnsi" w:cstheme="minorHAnsi"/>
          <w:sz w:val="22"/>
        </w:rPr>
        <w:t xml:space="preserve"> at Grade</w:t>
      </w:r>
      <w:r w:rsidR="00537A15">
        <w:rPr>
          <w:rFonts w:asciiTheme="minorHAnsi" w:hAnsiTheme="minorHAnsi" w:cstheme="minorHAnsi"/>
          <w:sz w:val="22"/>
        </w:rPr>
        <w:t>s</w:t>
      </w:r>
      <w:r>
        <w:rPr>
          <w:rFonts w:asciiTheme="minorHAnsi" w:hAnsiTheme="minorHAnsi" w:cstheme="minorHAnsi"/>
          <w:sz w:val="22"/>
        </w:rPr>
        <w:t xml:space="preserve"> F, G and H</w:t>
      </w:r>
      <w:r w:rsidRPr="00DD0E6B">
        <w:rPr>
          <w:rFonts w:asciiTheme="minorHAnsi" w:hAnsiTheme="minorHAnsi" w:cstheme="minorHAnsi"/>
          <w:sz w:val="22"/>
        </w:rPr>
        <w:t xml:space="preserve">. At such an early stage in the cycle, it </w:t>
      </w:r>
      <w:r w:rsidR="00537A15">
        <w:rPr>
          <w:rFonts w:asciiTheme="minorHAnsi" w:hAnsiTheme="minorHAnsi" w:cstheme="minorHAnsi"/>
          <w:sz w:val="22"/>
        </w:rPr>
        <w:t>may</w:t>
      </w:r>
      <w:r w:rsidRPr="00DD0E6B">
        <w:rPr>
          <w:rFonts w:asciiTheme="minorHAnsi" w:hAnsiTheme="minorHAnsi" w:cstheme="minorHAnsi"/>
          <w:sz w:val="22"/>
        </w:rPr>
        <w:t xml:space="preserve"> not be possible to provide </w:t>
      </w:r>
      <w:r w:rsidR="00537A15">
        <w:rPr>
          <w:rFonts w:asciiTheme="minorHAnsi" w:hAnsiTheme="minorHAnsi" w:cstheme="minorHAnsi"/>
          <w:sz w:val="22"/>
        </w:rPr>
        <w:t xml:space="preserve">exact </w:t>
      </w:r>
      <w:r w:rsidRPr="00DD0E6B">
        <w:rPr>
          <w:rFonts w:asciiTheme="minorHAnsi" w:hAnsiTheme="minorHAnsi" w:cstheme="minorHAnsi"/>
          <w:sz w:val="22"/>
        </w:rPr>
        <w:t>detail</w:t>
      </w:r>
      <w:r w:rsidR="00537A15">
        <w:rPr>
          <w:rFonts w:asciiTheme="minorHAnsi" w:hAnsiTheme="minorHAnsi" w:cstheme="minorHAnsi"/>
          <w:sz w:val="22"/>
        </w:rPr>
        <w:t>s</w:t>
      </w:r>
      <w:r w:rsidRPr="00DD0E6B">
        <w:rPr>
          <w:rFonts w:asciiTheme="minorHAnsi" w:hAnsiTheme="minorHAnsi" w:cstheme="minorHAnsi"/>
          <w:sz w:val="22"/>
        </w:rPr>
        <w:t xml:space="preserve"> to candidates on specific opportunities so ‘Expressions of Interest’ will be invited from eligible candidates describing the nature of the roles that will </w:t>
      </w:r>
      <w:r w:rsidRPr="00154D46">
        <w:rPr>
          <w:rFonts w:asciiTheme="minorHAnsi" w:hAnsiTheme="minorHAnsi" w:cstheme="minorHAnsi"/>
          <w:sz w:val="22"/>
        </w:rPr>
        <w:t>likely</w:t>
      </w:r>
      <w:r w:rsidRPr="00DD0E6B">
        <w:rPr>
          <w:rFonts w:asciiTheme="minorHAnsi" w:hAnsiTheme="minorHAnsi" w:cstheme="minorHAnsi"/>
          <w:sz w:val="22"/>
        </w:rPr>
        <w:t xml:space="preserve"> be available. Th</w:t>
      </w:r>
      <w:r w:rsidR="00537A15">
        <w:rPr>
          <w:rFonts w:asciiTheme="minorHAnsi" w:hAnsiTheme="minorHAnsi" w:cstheme="minorHAnsi"/>
          <w:sz w:val="22"/>
        </w:rPr>
        <w:t>ese</w:t>
      </w:r>
      <w:r w:rsidRPr="00DD0E6B">
        <w:rPr>
          <w:rFonts w:asciiTheme="minorHAnsi" w:hAnsiTheme="minorHAnsi" w:cstheme="minorHAnsi"/>
          <w:sz w:val="22"/>
        </w:rPr>
        <w:t xml:space="preserve"> </w:t>
      </w:r>
      <w:r w:rsidR="00537A15">
        <w:rPr>
          <w:rFonts w:asciiTheme="minorHAnsi" w:hAnsiTheme="minorHAnsi" w:cstheme="minorHAnsi"/>
          <w:sz w:val="22"/>
        </w:rPr>
        <w:t xml:space="preserve">invitations </w:t>
      </w:r>
      <w:r w:rsidRPr="00DD0E6B">
        <w:rPr>
          <w:rFonts w:asciiTheme="minorHAnsi" w:hAnsiTheme="minorHAnsi" w:cstheme="minorHAnsi"/>
          <w:sz w:val="22"/>
        </w:rPr>
        <w:t xml:space="preserve">will be </w:t>
      </w:r>
      <w:r w:rsidR="00537A15">
        <w:rPr>
          <w:rFonts w:asciiTheme="minorHAnsi" w:hAnsiTheme="minorHAnsi" w:cstheme="minorHAnsi"/>
          <w:sz w:val="22"/>
        </w:rPr>
        <w:t xml:space="preserve">advertised for each School </w:t>
      </w:r>
      <w:r w:rsidRPr="00DD0E6B">
        <w:rPr>
          <w:rFonts w:asciiTheme="minorHAnsi" w:hAnsiTheme="minorHAnsi" w:cstheme="minorHAnsi"/>
          <w:sz w:val="22"/>
        </w:rPr>
        <w:t xml:space="preserve">and </w:t>
      </w:r>
      <w:r w:rsidRPr="00F428D5">
        <w:rPr>
          <w:rFonts w:asciiTheme="minorHAnsi" w:hAnsiTheme="minorHAnsi" w:cstheme="minorHAnsi"/>
          <w:sz w:val="22"/>
        </w:rPr>
        <w:t xml:space="preserve">applicants </w:t>
      </w:r>
      <w:r w:rsidR="00113C83" w:rsidRPr="00F428D5">
        <w:rPr>
          <w:rFonts w:asciiTheme="minorHAnsi" w:hAnsiTheme="minorHAnsi" w:cstheme="minorHAnsi"/>
          <w:sz w:val="22"/>
        </w:rPr>
        <w:t xml:space="preserve">will be </w:t>
      </w:r>
      <w:r w:rsidRPr="00F428D5">
        <w:rPr>
          <w:rFonts w:asciiTheme="minorHAnsi" w:hAnsiTheme="minorHAnsi" w:cstheme="minorHAnsi"/>
          <w:sz w:val="22"/>
        </w:rPr>
        <w:t xml:space="preserve">invited </w:t>
      </w:r>
      <w:r w:rsidRPr="00DD0E6B">
        <w:rPr>
          <w:rFonts w:asciiTheme="minorHAnsi" w:hAnsiTheme="minorHAnsi" w:cstheme="minorHAnsi"/>
          <w:sz w:val="22"/>
        </w:rPr>
        <w:t xml:space="preserve">to complete short application forms to capture the biographical details needed along with teaching subject preferences and availability. The application form will be submitted centrally via </w:t>
      </w:r>
      <w:r>
        <w:rPr>
          <w:rFonts w:asciiTheme="minorHAnsi" w:hAnsiTheme="minorHAnsi" w:cstheme="minorHAnsi"/>
          <w:sz w:val="22"/>
        </w:rPr>
        <w:t>‘</w:t>
      </w:r>
      <w:proofErr w:type="spellStart"/>
      <w:r w:rsidRPr="00DD0E6B">
        <w:rPr>
          <w:rFonts w:asciiTheme="minorHAnsi" w:hAnsiTheme="minorHAnsi" w:cstheme="minorHAnsi"/>
          <w:sz w:val="22"/>
        </w:rPr>
        <w:t>Talentlink</w:t>
      </w:r>
      <w:proofErr w:type="spellEnd"/>
      <w:r>
        <w:rPr>
          <w:rFonts w:asciiTheme="minorHAnsi" w:hAnsiTheme="minorHAnsi" w:cstheme="minorHAnsi"/>
          <w:sz w:val="22"/>
        </w:rPr>
        <w:t>’</w:t>
      </w:r>
      <w:r w:rsidRPr="00DD0E6B">
        <w:rPr>
          <w:rFonts w:asciiTheme="minorHAnsi" w:hAnsiTheme="minorHAnsi" w:cstheme="minorHAnsi"/>
          <w:sz w:val="22"/>
        </w:rPr>
        <w:t xml:space="preserve"> and be held in an applicant pool until the </w:t>
      </w:r>
      <w:r>
        <w:rPr>
          <w:rFonts w:asciiTheme="minorHAnsi" w:hAnsiTheme="minorHAnsi" w:cstheme="minorHAnsi"/>
          <w:sz w:val="22"/>
        </w:rPr>
        <w:t>closing date</w:t>
      </w:r>
      <w:r w:rsidR="00E83249" w:rsidRPr="00F428D5">
        <w:rPr>
          <w:rFonts w:asciiTheme="minorHAnsi" w:hAnsiTheme="minorHAnsi" w:cstheme="minorHAnsi"/>
          <w:sz w:val="22"/>
        </w:rPr>
        <w:t>.</w:t>
      </w:r>
      <w:r w:rsidR="00455224" w:rsidRPr="00F428D5">
        <w:rPr>
          <w:rFonts w:asciiTheme="minorHAnsi" w:hAnsiTheme="minorHAnsi" w:cstheme="minorHAnsi"/>
          <w:sz w:val="22"/>
        </w:rPr>
        <w:t xml:space="preserve"> </w:t>
      </w:r>
      <w:r w:rsidR="00E83249" w:rsidRPr="00F428D5">
        <w:rPr>
          <w:rFonts w:asciiTheme="minorHAnsi" w:hAnsiTheme="minorHAnsi" w:cstheme="minorHAnsi"/>
          <w:sz w:val="22"/>
        </w:rPr>
        <w:t>Throughout the duration of the advert the Resourcing Team will send weekly application reports to the School</w:t>
      </w:r>
      <w:r w:rsidR="008808C4" w:rsidRPr="00F428D5">
        <w:rPr>
          <w:rFonts w:asciiTheme="minorHAnsi" w:hAnsiTheme="minorHAnsi" w:cstheme="minorHAnsi"/>
          <w:sz w:val="22"/>
        </w:rPr>
        <w:t xml:space="preserve"> </w:t>
      </w:r>
      <w:r w:rsidR="00E83249" w:rsidRPr="00F428D5">
        <w:rPr>
          <w:rFonts w:asciiTheme="minorHAnsi" w:hAnsiTheme="minorHAnsi" w:cstheme="minorHAnsi"/>
          <w:sz w:val="22"/>
        </w:rPr>
        <w:t>Manager</w:t>
      </w:r>
      <w:r w:rsidR="005339D0">
        <w:rPr>
          <w:rFonts w:asciiTheme="minorHAnsi" w:hAnsiTheme="minorHAnsi" w:cstheme="minorHAnsi"/>
          <w:sz w:val="22"/>
        </w:rPr>
        <w:t xml:space="preserve"> </w:t>
      </w:r>
      <w:r w:rsidR="00E83249" w:rsidRPr="00F428D5">
        <w:rPr>
          <w:rFonts w:asciiTheme="minorHAnsi" w:hAnsiTheme="minorHAnsi" w:cstheme="minorHAnsi"/>
          <w:sz w:val="22"/>
        </w:rPr>
        <w:t>/</w:t>
      </w:r>
      <w:r w:rsidR="005339D0">
        <w:rPr>
          <w:rFonts w:asciiTheme="minorHAnsi" w:hAnsiTheme="minorHAnsi" w:cstheme="minorHAnsi"/>
          <w:sz w:val="22"/>
        </w:rPr>
        <w:t xml:space="preserve"> </w:t>
      </w:r>
      <w:r w:rsidR="00E83249" w:rsidRPr="00F428D5">
        <w:rPr>
          <w:rFonts w:asciiTheme="minorHAnsi" w:hAnsiTheme="minorHAnsi" w:cstheme="minorHAnsi"/>
          <w:sz w:val="22"/>
        </w:rPr>
        <w:t xml:space="preserve">TSR </w:t>
      </w:r>
      <w:r w:rsidR="00F428D5">
        <w:rPr>
          <w:rFonts w:asciiTheme="minorHAnsi" w:hAnsiTheme="minorHAnsi" w:cstheme="minorHAnsi"/>
          <w:sz w:val="22"/>
        </w:rPr>
        <w:t>C</w:t>
      </w:r>
      <w:r w:rsidR="00E83249" w:rsidRPr="00F428D5">
        <w:rPr>
          <w:rFonts w:asciiTheme="minorHAnsi" w:hAnsiTheme="minorHAnsi" w:cstheme="minorHAnsi"/>
          <w:sz w:val="22"/>
        </w:rPr>
        <w:t>oordinator</w:t>
      </w:r>
      <w:r w:rsidR="00537A15" w:rsidRPr="00F428D5">
        <w:rPr>
          <w:rFonts w:asciiTheme="minorHAnsi" w:hAnsiTheme="minorHAnsi" w:cstheme="minorHAnsi"/>
          <w:sz w:val="22"/>
        </w:rPr>
        <w:t>.</w:t>
      </w:r>
    </w:p>
    <w:p w14:paraId="34C1AA5F" w14:textId="67B1D41B" w:rsidR="00A3236B" w:rsidRPr="00154D46" w:rsidRDefault="003E55D5" w:rsidP="00A3236B">
      <w:pPr>
        <w:spacing w:line="276" w:lineRule="auto"/>
        <w:rPr>
          <w:rFonts w:asciiTheme="minorHAnsi" w:hAnsiTheme="minorHAnsi" w:cstheme="minorHAnsi"/>
          <w:color w:val="ED7D31" w:themeColor="accent2"/>
          <w:sz w:val="22"/>
        </w:rPr>
      </w:pPr>
      <w:r w:rsidRPr="00436021">
        <w:rPr>
          <w:rFonts w:asciiTheme="minorHAnsi" w:hAnsiTheme="minorHAnsi" w:cstheme="minorHAnsi"/>
          <w:sz w:val="22"/>
        </w:rPr>
        <w:t>The School</w:t>
      </w:r>
      <w:r w:rsidR="005339D0">
        <w:rPr>
          <w:rFonts w:asciiTheme="minorHAnsi" w:hAnsiTheme="minorHAnsi" w:cstheme="minorHAnsi"/>
          <w:sz w:val="22"/>
        </w:rPr>
        <w:t xml:space="preserve"> </w:t>
      </w:r>
      <w:r w:rsidRPr="00436021">
        <w:rPr>
          <w:rFonts w:asciiTheme="minorHAnsi" w:hAnsiTheme="minorHAnsi" w:cstheme="minorHAnsi"/>
          <w:sz w:val="22"/>
        </w:rPr>
        <w:t>/</w:t>
      </w:r>
      <w:r w:rsidR="005339D0">
        <w:rPr>
          <w:rFonts w:asciiTheme="minorHAnsi" w:hAnsiTheme="minorHAnsi" w:cstheme="minorHAnsi"/>
          <w:sz w:val="22"/>
        </w:rPr>
        <w:t xml:space="preserve"> </w:t>
      </w:r>
      <w:r w:rsidRPr="00436021">
        <w:rPr>
          <w:rFonts w:asciiTheme="minorHAnsi" w:hAnsiTheme="minorHAnsi" w:cstheme="minorHAnsi"/>
          <w:sz w:val="22"/>
        </w:rPr>
        <w:t>Section Manager</w:t>
      </w:r>
      <w:r>
        <w:rPr>
          <w:rFonts w:asciiTheme="minorHAnsi" w:hAnsiTheme="minorHAnsi" w:cstheme="minorHAnsi"/>
          <w:sz w:val="22"/>
        </w:rPr>
        <w:t xml:space="preserve">, </w:t>
      </w:r>
      <w:r w:rsidRPr="00436021">
        <w:rPr>
          <w:rFonts w:asciiTheme="minorHAnsi" w:hAnsiTheme="minorHAnsi" w:cstheme="minorHAnsi"/>
          <w:sz w:val="22"/>
        </w:rPr>
        <w:t>with input from the Unit Director and/or Department Manager, where appropriate</w:t>
      </w:r>
      <w:r>
        <w:rPr>
          <w:rFonts w:asciiTheme="minorHAnsi" w:hAnsiTheme="minorHAnsi" w:cstheme="minorHAnsi"/>
          <w:sz w:val="22"/>
        </w:rPr>
        <w:t>,</w:t>
      </w:r>
      <w:r w:rsidRPr="00436021">
        <w:rPr>
          <w:rFonts w:asciiTheme="minorHAnsi" w:hAnsiTheme="minorHAnsi" w:cstheme="minorHAnsi"/>
          <w:sz w:val="22"/>
        </w:rPr>
        <w:t xml:space="preserve"> determines </w:t>
      </w:r>
      <w:r>
        <w:rPr>
          <w:rFonts w:asciiTheme="minorHAnsi" w:hAnsiTheme="minorHAnsi" w:cstheme="minorHAnsi"/>
          <w:sz w:val="22"/>
        </w:rPr>
        <w:t>the School’s</w:t>
      </w:r>
      <w:r w:rsidRPr="00436021">
        <w:rPr>
          <w:rFonts w:asciiTheme="minorHAnsi" w:hAnsiTheme="minorHAnsi" w:cstheme="minorHAnsi"/>
          <w:sz w:val="22"/>
        </w:rPr>
        <w:t xml:space="preserve"> hourly-paid teaching </w:t>
      </w:r>
      <w:r w:rsidR="00DD0E6B">
        <w:rPr>
          <w:rFonts w:asciiTheme="minorHAnsi" w:hAnsiTheme="minorHAnsi" w:cstheme="minorHAnsi"/>
          <w:sz w:val="22"/>
        </w:rPr>
        <w:t xml:space="preserve">support </w:t>
      </w:r>
      <w:r w:rsidRPr="00436021">
        <w:rPr>
          <w:rFonts w:asciiTheme="minorHAnsi" w:hAnsiTheme="minorHAnsi" w:cstheme="minorHAnsi"/>
          <w:sz w:val="22"/>
        </w:rPr>
        <w:t>requirements.</w:t>
      </w:r>
      <w:r w:rsidR="00DD0E6B">
        <w:rPr>
          <w:rFonts w:asciiTheme="minorHAnsi" w:hAnsiTheme="minorHAnsi" w:cstheme="minorHAnsi"/>
          <w:sz w:val="22"/>
        </w:rPr>
        <w:t xml:space="preserve"> Once the School’s </w:t>
      </w:r>
      <w:r w:rsidR="00DD0E6B" w:rsidRPr="00DD0E6B">
        <w:rPr>
          <w:rFonts w:asciiTheme="minorHAnsi" w:hAnsiTheme="minorHAnsi" w:cstheme="minorHAnsi"/>
          <w:sz w:val="22"/>
        </w:rPr>
        <w:t xml:space="preserve">specific </w:t>
      </w:r>
      <w:r w:rsidR="00DD0E6B">
        <w:rPr>
          <w:rFonts w:asciiTheme="minorHAnsi" w:hAnsiTheme="minorHAnsi" w:cstheme="minorHAnsi"/>
          <w:sz w:val="22"/>
        </w:rPr>
        <w:t xml:space="preserve">teaching </w:t>
      </w:r>
      <w:r w:rsidR="00DD0E6B" w:rsidRPr="00DD0E6B">
        <w:rPr>
          <w:rFonts w:asciiTheme="minorHAnsi" w:hAnsiTheme="minorHAnsi" w:cstheme="minorHAnsi"/>
          <w:sz w:val="22"/>
        </w:rPr>
        <w:t>needs are known</w:t>
      </w:r>
      <w:r w:rsidR="00DD0E6B">
        <w:rPr>
          <w:rFonts w:asciiTheme="minorHAnsi" w:hAnsiTheme="minorHAnsi" w:cstheme="minorHAnsi"/>
          <w:sz w:val="22"/>
        </w:rPr>
        <w:t>,</w:t>
      </w:r>
      <w:r w:rsidR="00DD0E6B" w:rsidRPr="00DD0E6B">
        <w:rPr>
          <w:rFonts w:asciiTheme="minorHAnsi" w:hAnsiTheme="minorHAnsi" w:cstheme="minorHAnsi"/>
          <w:sz w:val="22"/>
        </w:rPr>
        <w:t xml:space="preserve"> Schools will allocate available teaching roles to selected candidates</w:t>
      </w:r>
      <w:r w:rsidR="00DD0E6B">
        <w:rPr>
          <w:rFonts w:asciiTheme="minorHAnsi" w:hAnsiTheme="minorHAnsi" w:cstheme="minorHAnsi"/>
          <w:sz w:val="22"/>
        </w:rPr>
        <w:t>.</w:t>
      </w:r>
    </w:p>
    <w:p w14:paraId="2642D160" w14:textId="6063BDCD" w:rsidR="00533A67" w:rsidRPr="00F428D5" w:rsidRDefault="00DD0E6B" w:rsidP="00533A67">
      <w:pPr>
        <w:rPr>
          <w:rFonts w:asciiTheme="minorHAnsi" w:hAnsiTheme="minorHAnsi" w:cstheme="minorHAnsi"/>
          <w:sz w:val="22"/>
        </w:rPr>
      </w:pPr>
      <w:r>
        <w:rPr>
          <w:rFonts w:asciiTheme="minorHAnsi" w:hAnsiTheme="minorHAnsi" w:cstheme="minorHAnsi"/>
          <w:sz w:val="22"/>
        </w:rPr>
        <w:t xml:space="preserve">If Schools identify </w:t>
      </w:r>
      <w:r w:rsidR="00D86F62" w:rsidRPr="00F428D5">
        <w:rPr>
          <w:rFonts w:asciiTheme="minorHAnsi" w:hAnsiTheme="minorHAnsi" w:cstheme="minorHAnsi"/>
          <w:sz w:val="22"/>
        </w:rPr>
        <w:t>t</w:t>
      </w:r>
      <w:r w:rsidRPr="00F428D5">
        <w:rPr>
          <w:rFonts w:asciiTheme="minorHAnsi" w:hAnsiTheme="minorHAnsi" w:cstheme="minorHAnsi"/>
          <w:sz w:val="22"/>
        </w:rPr>
        <w:t xml:space="preserve">eaching </w:t>
      </w:r>
      <w:r w:rsidR="00D86F62" w:rsidRPr="00F428D5">
        <w:rPr>
          <w:rFonts w:asciiTheme="minorHAnsi" w:hAnsiTheme="minorHAnsi" w:cstheme="minorHAnsi"/>
          <w:sz w:val="22"/>
        </w:rPr>
        <w:t>s</w:t>
      </w:r>
      <w:r w:rsidRPr="00F428D5">
        <w:rPr>
          <w:rFonts w:asciiTheme="minorHAnsi" w:hAnsiTheme="minorHAnsi" w:cstheme="minorHAnsi"/>
          <w:sz w:val="22"/>
        </w:rPr>
        <w:t xml:space="preserve">upport </w:t>
      </w:r>
      <w:r>
        <w:rPr>
          <w:rFonts w:asciiTheme="minorHAnsi" w:hAnsiTheme="minorHAnsi" w:cstheme="minorHAnsi"/>
          <w:sz w:val="22"/>
        </w:rPr>
        <w:t xml:space="preserve">needs at grade I and above, these should be </w:t>
      </w:r>
      <w:r w:rsidR="0092786E">
        <w:rPr>
          <w:rFonts w:asciiTheme="minorHAnsi" w:hAnsiTheme="minorHAnsi" w:cstheme="minorHAnsi"/>
          <w:sz w:val="22"/>
        </w:rPr>
        <w:t>discussed</w:t>
      </w:r>
      <w:r>
        <w:rPr>
          <w:rFonts w:asciiTheme="minorHAnsi" w:hAnsiTheme="minorHAnsi" w:cstheme="minorHAnsi"/>
          <w:sz w:val="22"/>
        </w:rPr>
        <w:t xml:space="preserve"> with the HR Business Partner </w:t>
      </w:r>
      <w:r w:rsidR="00227982">
        <w:rPr>
          <w:rFonts w:asciiTheme="minorHAnsi" w:hAnsiTheme="minorHAnsi" w:cstheme="minorHAnsi"/>
          <w:sz w:val="22"/>
        </w:rPr>
        <w:t>T</w:t>
      </w:r>
      <w:r>
        <w:rPr>
          <w:rFonts w:asciiTheme="minorHAnsi" w:hAnsiTheme="minorHAnsi" w:cstheme="minorHAnsi"/>
          <w:sz w:val="22"/>
        </w:rPr>
        <w:t>eam and processed in line with the University requirements on casual and Fixed Term contracts for roles at this level.</w:t>
      </w:r>
      <w:r w:rsidR="00533A67">
        <w:rPr>
          <w:rFonts w:asciiTheme="minorHAnsi" w:hAnsiTheme="minorHAnsi" w:cstheme="minorHAnsi"/>
          <w:sz w:val="22"/>
        </w:rPr>
        <w:t xml:space="preserve"> </w:t>
      </w:r>
      <w:r w:rsidR="00533A67" w:rsidRPr="00F428D5">
        <w:rPr>
          <w:rFonts w:asciiTheme="minorHAnsi" w:hAnsiTheme="minorHAnsi" w:cstheme="minorHAnsi"/>
          <w:sz w:val="22"/>
        </w:rPr>
        <w:t xml:space="preserve">Where teaching cover requirements more closely align to the </w:t>
      </w:r>
      <w:hyperlink r:id="rId16" w:history="1">
        <w:r w:rsidR="00533A67" w:rsidRPr="00E524B7">
          <w:rPr>
            <w:rStyle w:val="Hyperlink"/>
            <w:rFonts w:asciiTheme="minorHAnsi" w:hAnsiTheme="minorHAnsi" w:cstheme="minorHAnsi"/>
            <w:sz w:val="22"/>
          </w:rPr>
          <w:t>Pathway 3, Teaching Associate role profile (level a/Grade I)</w:t>
        </w:r>
      </w:hyperlink>
      <w:r w:rsidR="00533A67" w:rsidRPr="00F428D5">
        <w:rPr>
          <w:rFonts w:asciiTheme="minorHAnsi" w:hAnsiTheme="minorHAnsi" w:cstheme="minorHAnsi"/>
          <w:sz w:val="22"/>
        </w:rPr>
        <w:t>, then it will normally be the case that a role will be advertised either as a Fixed Term cover contract or open-ended post as appropriate unless the cover is for a period of less than 12 weeks. In this scenario a Teaching Support contract may be issued at Grade I</w:t>
      </w:r>
      <w:r w:rsidR="00502550">
        <w:rPr>
          <w:rFonts w:asciiTheme="minorHAnsi" w:hAnsiTheme="minorHAnsi" w:cstheme="minorHAnsi"/>
          <w:sz w:val="22"/>
        </w:rPr>
        <w:t xml:space="preserve"> (</w:t>
      </w:r>
      <w:hyperlink r:id="rId17" w:history="1">
        <w:r w:rsidR="00502550" w:rsidRPr="00502550">
          <w:rPr>
            <w:rStyle w:val="Hyperlink"/>
            <w:rFonts w:asciiTheme="minorHAnsi" w:hAnsiTheme="minorHAnsi" w:cstheme="minorHAnsi"/>
            <w:sz w:val="22"/>
          </w:rPr>
          <w:t>Teacher</w:t>
        </w:r>
      </w:hyperlink>
      <w:r w:rsidR="00502550">
        <w:rPr>
          <w:rFonts w:asciiTheme="minorHAnsi" w:hAnsiTheme="minorHAnsi" w:cstheme="minorHAnsi"/>
          <w:sz w:val="22"/>
        </w:rPr>
        <w:t>)</w:t>
      </w:r>
      <w:r w:rsidR="00533A67" w:rsidRPr="00F428D5">
        <w:rPr>
          <w:rFonts w:asciiTheme="minorHAnsi" w:hAnsiTheme="minorHAnsi" w:cstheme="minorHAnsi"/>
          <w:sz w:val="22"/>
        </w:rPr>
        <w:t>.</w:t>
      </w:r>
    </w:p>
    <w:p w14:paraId="25309A84" w14:textId="4F926DBA" w:rsidR="003E55D5" w:rsidRPr="00227982" w:rsidRDefault="00DD0E6B" w:rsidP="003E55D5">
      <w:pPr>
        <w:rPr>
          <w:rFonts w:asciiTheme="minorHAnsi" w:hAnsiTheme="minorHAnsi" w:cstheme="minorHAnsi"/>
          <w:b/>
          <w:bCs/>
          <w:sz w:val="22"/>
        </w:rPr>
      </w:pPr>
      <w:r w:rsidRPr="00227982">
        <w:rPr>
          <w:rFonts w:asciiTheme="minorHAnsi" w:hAnsiTheme="minorHAnsi" w:cstheme="minorHAnsi"/>
          <w:sz w:val="22"/>
        </w:rPr>
        <w:t xml:space="preserve">Schools should </w:t>
      </w:r>
      <w:r w:rsidR="003E55D5" w:rsidRPr="00227982">
        <w:rPr>
          <w:rFonts w:asciiTheme="minorHAnsi" w:hAnsiTheme="minorHAnsi" w:cstheme="minorHAnsi"/>
          <w:sz w:val="22"/>
        </w:rPr>
        <w:t xml:space="preserve">agree </w:t>
      </w:r>
      <w:r w:rsidR="002C6ED7" w:rsidRPr="00227982">
        <w:rPr>
          <w:rFonts w:asciiTheme="minorHAnsi" w:hAnsiTheme="minorHAnsi" w:cstheme="minorHAnsi"/>
          <w:sz w:val="22"/>
        </w:rPr>
        <w:t>t</w:t>
      </w:r>
      <w:r w:rsidR="003E55D5" w:rsidRPr="00227982">
        <w:rPr>
          <w:rFonts w:asciiTheme="minorHAnsi" w:hAnsiTheme="minorHAnsi" w:cstheme="minorHAnsi"/>
          <w:sz w:val="22"/>
        </w:rPr>
        <w:t xml:space="preserve">eaching </w:t>
      </w:r>
      <w:r w:rsidR="002C6ED7" w:rsidRPr="00227982">
        <w:rPr>
          <w:rFonts w:asciiTheme="minorHAnsi" w:hAnsiTheme="minorHAnsi" w:cstheme="minorHAnsi"/>
          <w:sz w:val="22"/>
        </w:rPr>
        <w:t>s</w:t>
      </w:r>
      <w:r w:rsidR="003E55D5" w:rsidRPr="00227982">
        <w:rPr>
          <w:rFonts w:asciiTheme="minorHAnsi" w:hAnsiTheme="minorHAnsi" w:cstheme="minorHAnsi"/>
          <w:sz w:val="22"/>
        </w:rPr>
        <w:t>upport budgets and costs with Faculty Finance</w:t>
      </w:r>
      <w:r w:rsidR="00537A15" w:rsidRPr="00227982">
        <w:rPr>
          <w:rFonts w:asciiTheme="minorHAnsi" w:hAnsiTheme="minorHAnsi" w:cstheme="minorHAnsi"/>
          <w:sz w:val="22"/>
        </w:rPr>
        <w:t>. The H</w:t>
      </w:r>
      <w:r w:rsidR="00CE3179" w:rsidRPr="00227982">
        <w:rPr>
          <w:rFonts w:asciiTheme="minorHAnsi" w:hAnsiTheme="minorHAnsi" w:cstheme="minorHAnsi"/>
          <w:sz w:val="22"/>
        </w:rPr>
        <w:t xml:space="preserve">R </w:t>
      </w:r>
      <w:r w:rsidR="00537A15" w:rsidRPr="00227982">
        <w:rPr>
          <w:rFonts w:asciiTheme="minorHAnsi" w:hAnsiTheme="minorHAnsi" w:cstheme="minorHAnsi"/>
          <w:sz w:val="22"/>
        </w:rPr>
        <w:t>Business Partner</w:t>
      </w:r>
      <w:r w:rsidR="00A96E74" w:rsidRPr="00227982">
        <w:rPr>
          <w:rFonts w:asciiTheme="minorHAnsi" w:hAnsiTheme="minorHAnsi" w:cstheme="minorHAnsi"/>
          <w:sz w:val="22"/>
        </w:rPr>
        <w:t>ing</w:t>
      </w:r>
      <w:r w:rsidR="00537A15" w:rsidRPr="00227982">
        <w:rPr>
          <w:rFonts w:asciiTheme="minorHAnsi" w:hAnsiTheme="minorHAnsi" w:cstheme="minorHAnsi"/>
          <w:sz w:val="22"/>
        </w:rPr>
        <w:t xml:space="preserve"> </w:t>
      </w:r>
      <w:r w:rsidR="00227982" w:rsidRPr="00227982">
        <w:rPr>
          <w:rFonts w:asciiTheme="minorHAnsi" w:hAnsiTheme="minorHAnsi" w:cstheme="minorHAnsi"/>
          <w:sz w:val="22"/>
        </w:rPr>
        <w:t>T</w:t>
      </w:r>
      <w:r w:rsidR="003E55D5" w:rsidRPr="00227982">
        <w:rPr>
          <w:rFonts w:asciiTheme="minorHAnsi" w:hAnsiTheme="minorHAnsi" w:cstheme="minorHAnsi"/>
          <w:sz w:val="22"/>
        </w:rPr>
        <w:t xml:space="preserve">eam </w:t>
      </w:r>
      <w:r w:rsidR="00537A15" w:rsidRPr="00227982">
        <w:rPr>
          <w:rFonts w:asciiTheme="minorHAnsi" w:hAnsiTheme="minorHAnsi" w:cstheme="minorHAnsi"/>
          <w:sz w:val="22"/>
        </w:rPr>
        <w:t xml:space="preserve">are required to </w:t>
      </w:r>
      <w:r w:rsidR="005B3135" w:rsidRPr="00227982">
        <w:rPr>
          <w:rFonts w:asciiTheme="minorHAnsi" w:hAnsiTheme="minorHAnsi" w:cstheme="minorHAnsi"/>
          <w:sz w:val="22"/>
        </w:rPr>
        <w:t xml:space="preserve">review and sign off </w:t>
      </w:r>
      <w:r w:rsidR="00533A67" w:rsidRPr="00227982">
        <w:rPr>
          <w:rFonts w:asciiTheme="minorHAnsi" w:hAnsiTheme="minorHAnsi" w:cstheme="minorHAnsi"/>
          <w:sz w:val="22"/>
        </w:rPr>
        <w:t xml:space="preserve">on </w:t>
      </w:r>
      <w:r w:rsidR="00537A15" w:rsidRPr="00227982">
        <w:rPr>
          <w:rFonts w:asciiTheme="minorHAnsi" w:hAnsiTheme="minorHAnsi" w:cstheme="minorHAnsi"/>
          <w:sz w:val="22"/>
        </w:rPr>
        <w:t xml:space="preserve">all </w:t>
      </w:r>
      <w:r w:rsidR="00154D46" w:rsidRPr="00227982">
        <w:rPr>
          <w:rFonts w:asciiTheme="minorHAnsi" w:hAnsiTheme="minorHAnsi" w:cstheme="minorHAnsi"/>
          <w:sz w:val="22"/>
        </w:rPr>
        <w:t xml:space="preserve">TSR </w:t>
      </w:r>
      <w:r w:rsidR="00537A15" w:rsidRPr="00227982">
        <w:rPr>
          <w:rFonts w:asciiTheme="minorHAnsi" w:hAnsiTheme="minorHAnsi" w:cstheme="minorHAnsi"/>
          <w:sz w:val="22"/>
        </w:rPr>
        <w:t xml:space="preserve">contract requests </w:t>
      </w:r>
      <w:r w:rsidR="003E55D5" w:rsidRPr="00227982">
        <w:rPr>
          <w:rFonts w:asciiTheme="minorHAnsi" w:hAnsiTheme="minorHAnsi" w:cstheme="minorHAnsi"/>
          <w:sz w:val="22"/>
        </w:rPr>
        <w:t>prior to issue</w:t>
      </w:r>
      <w:r w:rsidR="00537A15" w:rsidRPr="00227982">
        <w:rPr>
          <w:rFonts w:asciiTheme="minorHAnsi" w:hAnsiTheme="minorHAnsi" w:cstheme="minorHAnsi"/>
          <w:b/>
          <w:bCs/>
          <w:sz w:val="22"/>
        </w:rPr>
        <w:t>.</w:t>
      </w:r>
      <w:r w:rsidR="003E55D5" w:rsidRPr="00227982">
        <w:rPr>
          <w:rFonts w:asciiTheme="minorHAnsi" w:hAnsiTheme="minorHAnsi" w:cstheme="minorHAnsi"/>
          <w:b/>
          <w:bCs/>
          <w:sz w:val="22"/>
        </w:rPr>
        <w:t xml:space="preserve">    </w:t>
      </w:r>
    </w:p>
    <w:p w14:paraId="4ADC2103" w14:textId="73DB7E03" w:rsidR="00A3236B" w:rsidRPr="00227982" w:rsidRDefault="003E55D5" w:rsidP="00DD0E6B">
      <w:pPr>
        <w:spacing w:line="276" w:lineRule="auto"/>
        <w:rPr>
          <w:rFonts w:asciiTheme="minorHAnsi" w:hAnsiTheme="minorHAnsi" w:cstheme="minorHAnsi"/>
          <w:sz w:val="22"/>
        </w:rPr>
      </w:pPr>
      <w:r w:rsidRPr="00973945">
        <w:rPr>
          <w:rFonts w:asciiTheme="minorHAnsi" w:hAnsiTheme="minorHAnsi" w:cstheme="minorHAnsi"/>
          <w:sz w:val="22"/>
        </w:rPr>
        <w:t xml:space="preserve">Once successful candidates </w:t>
      </w:r>
      <w:r w:rsidR="00537A15">
        <w:rPr>
          <w:rFonts w:asciiTheme="minorHAnsi" w:hAnsiTheme="minorHAnsi" w:cstheme="minorHAnsi"/>
          <w:sz w:val="22"/>
        </w:rPr>
        <w:t>have been</w:t>
      </w:r>
      <w:r w:rsidRPr="00973945">
        <w:rPr>
          <w:rFonts w:asciiTheme="minorHAnsi" w:hAnsiTheme="minorHAnsi" w:cstheme="minorHAnsi"/>
          <w:sz w:val="22"/>
        </w:rPr>
        <w:t xml:space="preserve"> identified, the School communicates contract requirements to </w:t>
      </w:r>
      <w:r>
        <w:rPr>
          <w:rFonts w:asciiTheme="minorHAnsi" w:hAnsiTheme="minorHAnsi" w:cstheme="minorHAnsi"/>
          <w:sz w:val="22"/>
        </w:rPr>
        <w:t xml:space="preserve">the </w:t>
      </w:r>
      <w:r w:rsidR="002A30BC">
        <w:rPr>
          <w:rFonts w:asciiTheme="minorHAnsi" w:hAnsiTheme="minorHAnsi" w:cstheme="minorHAnsi"/>
          <w:sz w:val="22"/>
        </w:rPr>
        <w:t>TSR Processing Team</w:t>
      </w:r>
      <w:r>
        <w:rPr>
          <w:rFonts w:asciiTheme="minorHAnsi" w:hAnsiTheme="minorHAnsi" w:cstheme="minorHAnsi"/>
          <w:sz w:val="22"/>
        </w:rPr>
        <w:t xml:space="preserve"> via the</w:t>
      </w:r>
      <w:r w:rsidRPr="00227982">
        <w:rPr>
          <w:rFonts w:asciiTheme="minorHAnsi" w:hAnsiTheme="minorHAnsi" w:cstheme="minorHAnsi"/>
          <w:sz w:val="22"/>
        </w:rPr>
        <w:t xml:space="preserve"> </w:t>
      </w:r>
      <w:r w:rsidR="001740D1" w:rsidRPr="00227982">
        <w:rPr>
          <w:rFonts w:asciiTheme="minorHAnsi" w:hAnsiTheme="minorHAnsi" w:cstheme="minorHAnsi"/>
          <w:sz w:val="22"/>
        </w:rPr>
        <w:t>TSR Toolkit (</w:t>
      </w:r>
      <w:r w:rsidRPr="00227982">
        <w:rPr>
          <w:rFonts w:asciiTheme="minorHAnsi" w:hAnsiTheme="minorHAnsi" w:cstheme="minorHAnsi"/>
          <w:sz w:val="22"/>
        </w:rPr>
        <w:t xml:space="preserve">outlined </w:t>
      </w:r>
      <w:r w:rsidR="001740D1" w:rsidRPr="00227982">
        <w:rPr>
          <w:rFonts w:asciiTheme="minorHAnsi" w:hAnsiTheme="minorHAnsi" w:cstheme="minorHAnsi"/>
          <w:sz w:val="22"/>
        </w:rPr>
        <w:t xml:space="preserve">in </w:t>
      </w:r>
      <w:hyperlink w:anchor="_TSR_Annual_Review" w:history="1">
        <w:r w:rsidR="001740D1" w:rsidRPr="0001435D">
          <w:rPr>
            <w:rStyle w:val="Hyperlink"/>
            <w:rFonts w:asciiTheme="minorHAnsi" w:hAnsiTheme="minorHAnsi" w:cstheme="minorHAnsi"/>
            <w:sz w:val="22"/>
          </w:rPr>
          <w:t>section</w:t>
        </w:r>
        <w:r w:rsidR="00C8337B" w:rsidRPr="0001435D">
          <w:rPr>
            <w:rStyle w:val="Hyperlink"/>
            <w:rFonts w:asciiTheme="minorHAnsi" w:hAnsiTheme="minorHAnsi" w:cstheme="minorHAnsi"/>
            <w:sz w:val="22"/>
          </w:rPr>
          <w:t xml:space="preserve"> </w:t>
        </w:r>
        <w:r w:rsidR="0001435D" w:rsidRPr="0001435D">
          <w:rPr>
            <w:rStyle w:val="Hyperlink"/>
            <w:rFonts w:asciiTheme="minorHAnsi" w:hAnsiTheme="minorHAnsi" w:cstheme="minorHAnsi"/>
            <w:sz w:val="22"/>
          </w:rPr>
          <w:t>2.2</w:t>
        </w:r>
      </w:hyperlink>
      <w:r w:rsidR="001740D1" w:rsidRPr="00227982">
        <w:rPr>
          <w:rFonts w:asciiTheme="minorHAnsi" w:hAnsiTheme="minorHAnsi" w:cstheme="minorHAnsi"/>
          <w:sz w:val="22"/>
        </w:rPr>
        <w:t>)</w:t>
      </w:r>
      <w:r w:rsidRPr="00227982">
        <w:rPr>
          <w:rFonts w:asciiTheme="minorHAnsi" w:hAnsiTheme="minorHAnsi" w:cstheme="minorHAnsi"/>
          <w:sz w:val="22"/>
        </w:rPr>
        <w:t xml:space="preserve">. </w:t>
      </w:r>
      <w:r w:rsidR="0092786E" w:rsidRPr="00227982">
        <w:rPr>
          <w:rFonts w:asciiTheme="minorHAnsi" w:hAnsiTheme="minorHAnsi" w:cstheme="minorHAnsi"/>
          <w:sz w:val="22"/>
        </w:rPr>
        <w:t xml:space="preserve">The </w:t>
      </w:r>
      <w:r w:rsidR="002A30BC" w:rsidRPr="00227982">
        <w:rPr>
          <w:rFonts w:asciiTheme="minorHAnsi" w:hAnsiTheme="minorHAnsi" w:cstheme="minorHAnsi"/>
          <w:sz w:val="22"/>
        </w:rPr>
        <w:t>TSR Processing Team</w:t>
      </w:r>
      <w:r w:rsidRPr="00227982">
        <w:rPr>
          <w:rFonts w:asciiTheme="minorHAnsi" w:hAnsiTheme="minorHAnsi" w:cstheme="minorHAnsi"/>
          <w:sz w:val="22"/>
        </w:rPr>
        <w:t xml:space="preserve"> </w:t>
      </w:r>
      <w:r w:rsidR="001740D1" w:rsidRPr="00227982">
        <w:rPr>
          <w:rFonts w:asciiTheme="minorHAnsi" w:hAnsiTheme="minorHAnsi" w:cstheme="minorHAnsi"/>
          <w:sz w:val="22"/>
        </w:rPr>
        <w:t xml:space="preserve">will </w:t>
      </w:r>
      <w:r w:rsidR="00131740" w:rsidRPr="00227982">
        <w:rPr>
          <w:rFonts w:asciiTheme="minorHAnsi" w:hAnsiTheme="minorHAnsi" w:cstheme="minorHAnsi"/>
          <w:sz w:val="22"/>
        </w:rPr>
        <w:t xml:space="preserve">release the TSR Toolkit for </w:t>
      </w:r>
      <w:r w:rsidR="001740D1" w:rsidRPr="00227982">
        <w:rPr>
          <w:rFonts w:asciiTheme="minorHAnsi" w:hAnsiTheme="minorHAnsi" w:cstheme="minorHAnsi"/>
          <w:sz w:val="22"/>
        </w:rPr>
        <w:t>HR Business Partner</w:t>
      </w:r>
      <w:r w:rsidR="00131740" w:rsidRPr="00227982">
        <w:rPr>
          <w:rFonts w:asciiTheme="minorHAnsi" w:hAnsiTheme="minorHAnsi" w:cstheme="minorHAnsi"/>
          <w:sz w:val="22"/>
        </w:rPr>
        <w:t xml:space="preserve"> </w:t>
      </w:r>
      <w:r w:rsidR="001740D1" w:rsidRPr="00227982">
        <w:rPr>
          <w:rFonts w:asciiTheme="minorHAnsi" w:hAnsiTheme="minorHAnsi" w:cstheme="minorHAnsi"/>
          <w:sz w:val="22"/>
        </w:rPr>
        <w:t>review</w:t>
      </w:r>
      <w:r w:rsidR="00131740" w:rsidRPr="00227982">
        <w:rPr>
          <w:rFonts w:asciiTheme="minorHAnsi" w:hAnsiTheme="minorHAnsi" w:cstheme="minorHAnsi"/>
          <w:sz w:val="22"/>
        </w:rPr>
        <w:t>,</w:t>
      </w:r>
      <w:r w:rsidR="001740D1" w:rsidRPr="00227982">
        <w:rPr>
          <w:rFonts w:asciiTheme="minorHAnsi" w:hAnsiTheme="minorHAnsi" w:cstheme="minorHAnsi"/>
          <w:sz w:val="22"/>
        </w:rPr>
        <w:t xml:space="preserve"> </w:t>
      </w:r>
      <w:r w:rsidR="00131740" w:rsidRPr="00227982">
        <w:rPr>
          <w:rFonts w:asciiTheme="minorHAnsi" w:hAnsiTheme="minorHAnsi" w:cstheme="minorHAnsi"/>
          <w:sz w:val="22"/>
        </w:rPr>
        <w:t>and on</w:t>
      </w:r>
      <w:r w:rsidR="001740D1" w:rsidRPr="00227982">
        <w:rPr>
          <w:rFonts w:asciiTheme="minorHAnsi" w:hAnsiTheme="minorHAnsi" w:cstheme="minorHAnsi"/>
          <w:sz w:val="22"/>
        </w:rPr>
        <w:t xml:space="preserve"> </w:t>
      </w:r>
      <w:r w:rsidR="00131740" w:rsidRPr="00227982">
        <w:rPr>
          <w:rFonts w:asciiTheme="minorHAnsi" w:hAnsiTheme="minorHAnsi" w:cstheme="minorHAnsi"/>
          <w:sz w:val="22"/>
        </w:rPr>
        <w:t xml:space="preserve">receipt of their </w:t>
      </w:r>
      <w:r w:rsidR="001740D1" w:rsidRPr="00227982">
        <w:rPr>
          <w:rFonts w:asciiTheme="minorHAnsi" w:hAnsiTheme="minorHAnsi" w:cstheme="minorHAnsi"/>
          <w:sz w:val="22"/>
        </w:rPr>
        <w:t xml:space="preserve">approval will </w:t>
      </w:r>
      <w:r w:rsidRPr="00227982">
        <w:rPr>
          <w:rFonts w:asciiTheme="minorHAnsi" w:hAnsiTheme="minorHAnsi" w:cstheme="minorHAnsi"/>
          <w:sz w:val="22"/>
        </w:rPr>
        <w:t xml:space="preserve">issue the contracts </w:t>
      </w:r>
      <w:r w:rsidR="00A66566" w:rsidRPr="00227982">
        <w:rPr>
          <w:rFonts w:asciiTheme="minorHAnsi" w:hAnsiTheme="minorHAnsi" w:cstheme="minorHAnsi"/>
          <w:sz w:val="22"/>
        </w:rPr>
        <w:t xml:space="preserve">via DocuSign </w:t>
      </w:r>
      <w:r w:rsidRPr="00227982">
        <w:rPr>
          <w:rFonts w:asciiTheme="minorHAnsi" w:hAnsiTheme="minorHAnsi" w:cstheme="minorHAnsi"/>
          <w:sz w:val="22"/>
        </w:rPr>
        <w:t>to the individuals</w:t>
      </w:r>
      <w:r w:rsidR="00DD0E6B" w:rsidRPr="00227982">
        <w:rPr>
          <w:rFonts w:asciiTheme="minorHAnsi" w:hAnsiTheme="minorHAnsi" w:cstheme="minorHAnsi"/>
          <w:sz w:val="22"/>
        </w:rPr>
        <w:t xml:space="preserve"> </w:t>
      </w:r>
      <w:r w:rsidR="00A66566" w:rsidRPr="00227982">
        <w:rPr>
          <w:rFonts w:asciiTheme="minorHAnsi" w:hAnsiTheme="minorHAnsi" w:cstheme="minorHAnsi"/>
          <w:sz w:val="22"/>
        </w:rPr>
        <w:t xml:space="preserve">using the email address provided on the </w:t>
      </w:r>
      <w:r w:rsidR="001740D1" w:rsidRPr="00227982">
        <w:rPr>
          <w:rFonts w:asciiTheme="minorHAnsi" w:hAnsiTheme="minorHAnsi" w:cstheme="minorHAnsi"/>
          <w:sz w:val="22"/>
        </w:rPr>
        <w:t>TSR Toolkit</w:t>
      </w:r>
      <w:r w:rsidR="00A66566" w:rsidRPr="00227982">
        <w:rPr>
          <w:rFonts w:asciiTheme="minorHAnsi" w:hAnsiTheme="minorHAnsi" w:cstheme="minorHAnsi"/>
          <w:sz w:val="22"/>
        </w:rPr>
        <w:t>. T</w:t>
      </w:r>
      <w:r w:rsidR="00DD0E6B" w:rsidRPr="00227982">
        <w:rPr>
          <w:rFonts w:asciiTheme="minorHAnsi" w:hAnsiTheme="minorHAnsi" w:cstheme="minorHAnsi"/>
          <w:sz w:val="22"/>
        </w:rPr>
        <w:t xml:space="preserve">his must be in advance of the contract start date </w:t>
      </w:r>
      <w:r w:rsidR="00956C61" w:rsidRPr="00227982">
        <w:rPr>
          <w:rFonts w:asciiTheme="minorHAnsi" w:hAnsiTheme="minorHAnsi" w:cstheme="minorHAnsi"/>
          <w:sz w:val="22"/>
        </w:rPr>
        <w:t xml:space="preserve">usually </w:t>
      </w:r>
      <w:r w:rsidR="00DD0E6B" w:rsidRPr="00227982">
        <w:rPr>
          <w:rFonts w:asciiTheme="minorHAnsi" w:hAnsiTheme="minorHAnsi" w:cstheme="minorHAnsi"/>
          <w:sz w:val="22"/>
        </w:rPr>
        <w:t xml:space="preserve">allowing a minimum of </w:t>
      </w:r>
      <w:r w:rsidR="00131740" w:rsidRPr="00227982">
        <w:rPr>
          <w:rFonts w:asciiTheme="minorHAnsi" w:hAnsiTheme="minorHAnsi" w:cstheme="minorHAnsi"/>
          <w:sz w:val="22"/>
        </w:rPr>
        <w:t>2</w:t>
      </w:r>
      <w:r w:rsidR="00537A15" w:rsidRPr="00227982">
        <w:rPr>
          <w:rFonts w:asciiTheme="minorHAnsi" w:hAnsiTheme="minorHAnsi" w:cstheme="minorHAnsi"/>
          <w:sz w:val="22"/>
        </w:rPr>
        <w:t xml:space="preserve"> weeks</w:t>
      </w:r>
      <w:r w:rsidR="00DD0E6B" w:rsidRPr="00227982">
        <w:rPr>
          <w:rFonts w:asciiTheme="minorHAnsi" w:hAnsiTheme="minorHAnsi" w:cstheme="minorHAnsi"/>
          <w:sz w:val="22"/>
        </w:rPr>
        <w:t xml:space="preserve"> for </w:t>
      </w:r>
      <w:r w:rsidR="00583FF8" w:rsidRPr="00227982">
        <w:rPr>
          <w:rFonts w:asciiTheme="minorHAnsi" w:hAnsiTheme="minorHAnsi" w:cstheme="minorHAnsi"/>
          <w:sz w:val="22"/>
        </w:rPr>
        <w:t xml:space="preserve">compliance checks and </w:t>
      </w:r>
      <w:r w:rsidR="00DD0E6B" w:rsidRPr="00227982">
        <w:rPr>
          <w:rFonts w:asciiTheme="minorHAnsi" w:hAnsiTheme="minorHAnsi" w:cstheme="minorHAnsi"/>
          <w:sz w:val="22"/>
        </w:rPr>
        <w:t>contract production.</w:t>
      </w:r>
      <w:r w:rsidR="00956C61" w:rsidRPr="00227982">
        <w:rPr>
          <w:rFonts w:asciiTheme="minorHAnsi" w:hAnsiTheme="minorHAnsi" w:cstheme="minorHAnsi"/>
          <w:sz w:val="22"/>
        </w:rPr>
        <w:t xml:space="preserve"> However, Schools are strongly encouraged to submit </w:t>
      </w:r>
      <w:r w:rsidR="00956C61" w:rsidRPr="00227982">
        <w:rPr>
          <w:rFonts w:asciiTheme="minorHAnsi" w:hAnsiTheme="minorHAnsi" w:cstheme="minorHAnsi"/>
          <w:sz w:val="22"/>
        </w:rPr>
        <w:lastRenderedPageBreak/>
        <w:t xml:space="preserve">their contract requests at the earliest opportunity to ensure that a bottleneck of requests into the </w:t>
      </w:r>
      <w:r w:rsidR="002A30BC" w:rsidRPr="00227982">
        <w:rPr>
          <w:rFonts w:asciiTheme="minorHAnsi" w:hAnsiTheme="minorHAnsi" w:cstheme="minorHAnsi"/>
          <w:sz w:val="22"/>
        </w:rPr>
        <w:t>TSR Processing Team</w:t>
      </w:r>
      <w:r w:rsidR="00956C61" w:rsidRPr="00227982">
        <w:rPr>
          <w:rFonts w:asciiTheme="minorHAnsi" w:hAnsiTheme="minorHAnsi" w:cstheme="minorHAnsi"/>
          <w:sz w:val="22"/>
        </w:rPr>
        <w:t xml:space="preserve"> can be avoided</w:t>
      </w:r>
      <w:r w:rsidR="00A84C57" w:rsidRPr="00227982">
        <w:rPr>
          <w:rFonts w:asciiTheme="minorHAnsi" w:hAnsiTheme="minorHAnsi" w:cstheme="minorHAnsi"/>
          <w:sz w:val="22"/>
        </w:rPr>
        <w:t>.</w:t>
      </w:r>
      <w:r w:rsidR="006B670A" w:rsidRPr="00227982">
        <w:rPr>
          <w:rFonts w:asciiTheme="minorHAnsi" w:hAnsiTheme="minorHAnsi" w:cstheme="minorHAnsi"/>
          <w:sz w:val="22"/>
        </w:rPr>
        <w:t xml:space="preserve"> As the TSR contract covers variation of hours, an estimated number of minimal hours may be submitted initially to ensure TSRs are contracted and then if hours do change, amendments can be submitted during the </w:t>
      </w:r>
      <w:hyperlink w:anchor="_Amendment_Period" w:history="1">
        <w:r w:rsidR="006B670A" w:rsidRPr="003529EE">
          <w:rPr>
            <w:rStyle w:val="Hyperlink"/>
            <w:rFonts w:asciiTheme="minorHAnsi" w:hAnsiTheme="minorHAnsi" w:cstheme="minorHAnsi"/>
            <w:sz w:val="22"/>
          </w:rPr>
          <w:t>adjustment period</w:t>
        </w:r>
      </w:hyperlink>
      <w:r w:rsidR="006B670A" w:rsidRPr="00227982">
        <w:rPr>
          <w:rFonts w:asciiTheme="minorHAnsi" w:hAnsiTheme="minorHAnsi" w:cstheme="minorHAnsi"/>
          <w:sz w:val="22"/>
        </w:rPr>
        <w:t xml:space="preserve"> in February of each year.</w:t>
      </w:r>
    </w:p>
    <w:p w14:paraId="473FB602" w14:textId="0722A8B3" w:rsidR="003E55D5" w:rsidRPr="00227982" w:rsidRDefault="003E55D5" w:rsidP="003E55D5">
      <w:pPr>
        <w:rPr>
          <w:rFonts w:asciiTheme="minorHAnsi" w:hAnsiTheme="minorHAnsi" w:cstheme="minorHAnsi"/>
          <w:sz w:val="22"/>
        </w:rPr>
      </w:pPr>
      <w:r w:rsidRPr="00227982">
        <w:rPr>
          <w:rFonts w:asciiTheme="minorHAnsi" w:hAnsiTheme="minorHAnsi" w:cstheme="minorHAnsi"/>
          <w:sz w:val="22"/>
        </w:rPr>
        <w:t>The School</w:t>
      </w:r>
      <w:r w:rsidR="005339D0">
        <w:rPr>
          <w:rFonts w:asciiTheme="minorHAnsi" w:hAnsiTheme="minorHAnsi" w:cstheme="minorHAnsi"/>
          <w:sz w:val="22"/>
        </w:rPr>
        <w:t xml:space="preserve"> </w:t>
      </w:r>
      <w:r w:rsidRPr="00227982">
        <w:rPr>
          <w:rFonts w:asciiTheme="minorHAnsi" w:hAnsiTheme="minorHAnsi" w:cstheme="minorHAnsi"/>
          <w:sz w:val="22"/>
        </w:rPr>
        <w:t>/</w:t>
      </w:r>
      <w:r w:rsidR="005339D0">
        <w:rPr>
          <w:rFonts w:asciiTheme="minorHAnsi" w:hAnsiTheme="minorHAnsi" w:cstheme="minorHAnsi"/>
          <w:sz w:val="22"/>
        </w:rPr>
        <w:t xml:space="preserve"> </w:t>
      </w:r>
      <w:r w:rsidRPr="00227982">
        <w:rPr>
          <w:rFonts w:asciiTheme="minorHAnsi" w:hAnsiTheme="minorHAnsi" w:cstheme="minorHAnsi"/>
          <w:sz w:val="22"/>
        </w:rPr>
        <w:t xml:space="preserve">Section confirms with the individual any local arrangements, such as </w:t>
      </w:r>
      <w:r w:rsidR="00AF28BF" w:rsidRPr="00227982">
        <w:rPr>
          <w:rFonts w:asciiTheme="minorHAnsi" w:hAnsiTheme="minorHAnsi" w:cstheme="minorHAnsi"/>
          <w:sz w:val="22"/>
        </w:rPr>
        <w:t xml:space="preserve">unit details, </w:t>
      </w:r>
      <w:r w:rsidRPr="00227982">
        <w:rPr>
          <w:rFonts w:asciiTheme="minorHAnsi" w:hAnsiTheme="minorHAnsi" w:cstheme="minorHAnsi"/>
          <w:sz w:val="22"/>
        </w:rPr>
        <w:t>start and finish times</w:t>
      </w:r>
      <w:r w:rsidR="00537A15" w:rsidRPr="00227982">
        <w:rPr>
          <w:rFonts w:asciiTheme="minorHAnsi" w:hAnsiTheme="minorHAnsi" w:cstheme="minorHAnsi"/>
          <w:sz w:val="22"/>
        </w:rPr>
        <w:t xml:space="preserve"> and </w:t>
      </w:r>
      <w:r w:rsidRPr="00227982">
        <w:rPr>
          <w:rFonts w:asciiTheme="minorHAnsi" w:hAnsiTheme="minorHAnsi" w:cstheme="minorHAnsi"/>
          <w:sz w:val="22"/>
        </w:rPr>
        <w:t>exact location of work</w:t>
      </w:r>
      <w:r w:rsidR="00537A15" w:rsidRPr="00227982">
        <w:rPr>
          <w:rFonts w:asciiTheme="minorHAnsi" w:hAnsiTheme="minorHAnsi" w:cstheme="minorHAnsi"/>
          <w:sz w:val="22"/>
        </w:rPr>
        <w:t>.</w:t>
      </w:r>
      <w:r w:rsidRPr="00227982">
        <w:rPr>
          <w:rFonts w:asciiTheme="minorHAnsi" w:hAnsiTheme="minorHAnsi" w:cstheme="minorHAnsi"/>
          <w:sz w:val="22"/>
        </w:rPr>
        <w:t xml:space="preserve"> </w:t>
      </w:r>
    </w:p>
    <w:p w14:paraId="72363521" w14:textId="77777777" w:rsidR="003E55D5" w:rsidRPr="00436021" w:rsidRDefault="003E55D5" w:rsidP="003E55D5">
      <w:pPr>
        <w:rPr>
          <w:rFonts w:asciiTheme="minorHAnsi" w:hAnsiTheme="minorHAnsi" w:cstheme="minorHAnsi"/>
          <w:sz w:val="22"/>
        </w:rPr>
      </w:pPr>
    </w:p>
    <w:p w14:paraId="24A11AFE" w14:textId="77777777" w:rsidR="003E55D5" w:rsidRPr="00436021" w:rsidRDefault="003E55D5" w:rsidP="003E55D5">
      <w:pPr>
        <w:pStyle w:val="Heading2"/>
      </w:pPr>
      <w:bookmarkStart w:id="7" w:name="_TSR_Annual_Review"/>
      <w:bookmarkStart w:id="8" w:name="_Toc177982920"/>
      <w:bookmarkEnd w:id="7"/>
      <w:r>
        <w:t>TSR</w:t>
      </w:r>
      <w:r w:rsidRPr="00436021">
        <w:t xml:space="preserve"> Annual Review Process</w:t>
      </w:r>
      <w:r>
        <w:t xml:space="preserve"> &amp; Contract Requirements</w:t>
      </w:r>
      <w:bookmarkEnd w:id="8"/>
    </w:p>
    <w:p w14:paraId="53953A3E" w14:textId="611BDFD3" w:rsidR="003E55D5" w:rsidRPr="006E6C70" w:rsidRDefault="003E55D5" w:rsidP="003E55D5">
      <w:pPr>
        <w:rPr>
          <w:rFonts w:asciiTheme="minorHAnsi" w:hAnsiTheme="minorHAnsi" w:cstheme="minorHAnsi"/>
          <w:sz w:val="22"/>
        </w:rPr>
      </w:pPr>
      <w:r w:rsidRPr="006E6C70">
        <w:rPr>
          <w:rFonts w:asciiTheme="minorHAnsi" w:hAnsiTheme="minorHAnsi" w:cstheme="minorHAnsi"/>
          <w:sz w:val="22"/>
        </w:rPr>
        <w:t xml:space="preserve">Once a year (usually </w:t>
      </w:r>
      <w:r w:rsidR="00452387" w:rsidRPr="006E6C70">
        <w:rPr>
          <w:rFonts w:asciiTheme="minorHAnsi" w:hAnsiTheme="minorHAnsi" w:cstheme="minorHAnsi"/>
          <w:sz w:val="22"/>
        </w:rPr>
        <w:t xml:space="preserve">around </w:t>
      </w:r>
      <w:r w:rsidR="008C5D0F" w:rsidRPr="006E6C70">
        <w:rPr>
          <w:rFonts w:asciiTheme="minorHAnsi" w:hAnsiTheme="minorHAnsi" w:cstheme="minorHAnsi"/>
          <w:sz w:val="22"/>
        </w:rPr>
        <w:t>May/</w:t>
      </w:r>
      <w:r w:rsidR="00452387" w:rsidRPr="006E6C70">
        <w:rPr>
          <w:rFonts w:asciiTheme="minorHAnsi" w:hAnsiTheme="minorHAnsi" w:cstheme="minorHAnsi"/>
          <w:sz w:val="22"/>
        </w:rPr>
        <w:t>June)</w:t>
      </w:r>
      <w:r w:rsidRPr="006E6C70">
        <w:rPr>
          <w:rFonts w:asciiTheme="minorHAnsi" w:hAnsiTheme="minorHAnsi" w:cstheme="minorHAnsi"/>
          <w:sz w:val="22"/>
        </w:rPr>
        <w:t xml:space="preserve">, the </w:t>
      </w:r>
      <w:r w:rsidR="002A30BC" w:rsidRPr="006E6C70">
        <w:rPr>
          <w:rFonts w:asciiTheme="minorHAnsi" w:hAnsiTheme="minorHAnsi" w:cstheme="minorHAnsi"/>
          <w:sz w:val="22"/>
        </w:rPr>
        <w:t>TSR Processing Team</w:t>
      </w:r>
      <w:r w:rsidRPr="006E6C70">
        <w:rPr>
          <w:rFonts w:asciiTheme="minorHAnsi" w:hAnsiTheme="minorHAnsi" w:cstheme="minorHAnsi"/>
          <w:sz w:val="22"/>
        </w:rPr>
        <w:t xml:space="preserve"> will initiate a review of TSR contracts </w:t>
      </w:r>
      <w:r w:rsidR="00A66566" w:rsidRPr="006E6C70">
        <w:rPr>
          <w:rFonts w:asciiTheme="minorHAnsi" w:hAnsiTheme="minorHAnsi" w:cstheme="minorHAnsi"/>
          <w:sz w:val="22"/>
        </w:rPr>
        <w:t xml:space="preserve">for Schools </w:t>
      </w:r>
      <w:r w:rsidRPr="006E6C70">
        <w:rPr>
          <w:rFonts w:asciiTheme="minorHAnsi" w:hAnsiTheme="minorHAnsi" w:cstheme="minorHAnsi"/>
          <w:sz w:val="22"/>
        </w:rPr>
        <w:t xml:space="preserve">to determine which contracts should continue, which should </w:t>
      </w:r>
      <w:r w:rsidR="00A644D8" w:rsidRPr="006E6C70">
        <w:rPr>
          <w:rFonts w:asciiTheme="minorHAnsi" w:hAnsiTheme="minorHAnsi" w:cstheme="minorHAnsi"/>
          <w:sz w:val="22"/>
        </w:rPr>
        <w:t>cease,</w:t>
      </w:r>
      <w:r w:rsidRPr="006E6C70">
        <w:rPr>
          <w:rFonts w:asciiTheme="minorHAnsi" w:hAnsiTheme="minorHAnsi" w:cstheme="minorHAnsi"/>
          <w:sz w:val="22"/>
        </w:rPr>
        <w:t xml:space="preserve"> and which new contracts are required for the following year. </w:t>
      </w:r>
      <w:r w:rsidR="0092786E" w:rsidRPr="006E6C70">
        <w:rPr>
          <w:rFonts w:asciiTheme="minorHAnsi" w:hAnsiTheme="minorHAnsi" w:cstheme="minorHAnsi"/>
          <w:sz w:val="22"/>
        </w:rPr>
        <w:t xml:space="preserve">The </w:t>
      </w:r>
      <w:r w:rsidR="002A30BC" w:rsidRPr="006E6C70">
        <w:rPr>
          <w:rFonts w:asciiTheme="minorHAnsi" w:hAnsiTheme="minorHAnsi" w:cstheme="minorHAnsi"/>
          <w:sz w:val="22"/>
        </w:rPr>
        <w:t>TSR Processing Team</w:t>
      </w:r>
      <w:r w:rsidRPr="006E6C70">
        <w:rPr>
          <w:rFonts w:asciiTheme="minorHAnsi" w:hAnsiTheme="minorHAnsi" w:cstheme="minorHAnsi"/>
          <w:sz w:val="22"/>
        </w:rPr>
        <w:t xml:space="preserve"> run the TSR Contract Requirements report </w:t>
      </w:r>
      <w:r w:rsidR="00850198" w:rsidRPr="006E6C70">
        <w:rPr>
          <w:rFonts w:asciiTheme="minorHAnsi" w:hAnsiTheme="minorHAnsi" w:cstheme="minorHAnsi"/>
          <w:sz w:val="22"/>
        </w:rPr>
        <w:t>on M</w:t>
      </w:r>
      <w:r w:rsidR="005339D0">
        <w:rPr>
          <w:rFonts w:asciiTheme="minorHAnsi" w:hAnsiTheme="minorHAnsi" w:cstheme="minorHAnsi"/>
          <w:sz w:val="22"/>
        </w:rPr>
        <w:t>y</w:t>
      </w:r>
      <w:r w:rsidR="00850198" w:rsidRPr="006E6C70">
        <w:rPr>
          <w:rFonts w:asciiTheme="minorHAnsi" w:hAnsiTheme="minorHAnsi" w:cstheme="minorHAnsi"/>
          <w:sz w:val="22"/>
        </w:rPr>
        <w:t xml:space="preserve">ERP </w:t>
      </w:r>
      <w:r w:rsidRPr="006E6C70">
        <w:rPr>
          <w:rFonts w:asciiTheme="minorHAnsi" w:hAnsiTheme="minorHAnsi" w:cstheme="minorHAnsi"/>
          <w:sz w:val="22"/>
        </w:rPr>
        <w:t xml:space="preserve">which produces a spreadsheet listing all current role holders (including those whose contracts have ended within the past 8 months). This is sent </w:t>
      </w:r>
      <w:r w:rsidR="00216C23" w:rsidRPr="006E6C70">
        <w:rPr>
          <w:rFonts w:asciiTheme="minorHAnsi" w:hAnsiTheme="minorHAnsi" w:cstheme="minorHAnsi"/>
          <w:sz w:val="22"/>
        </w:rPr>
        <w:t xml:space="preserve">out as the TSR Toolkit </w:t>
      </w:r>
      <w:r w:rsidRPr="006E6C70">
        <w:rPr>
          <w:rFonts w:asciiTheme="minorHAnsi" w:hAnsiTheme="minorHAnsi" w:cstheme="minorHAnsi"/>
          <w:sz w:val="22"/>
        </w:rPr>
        <w:t>to the School</w:t>
      </w:r>
      <w:r w:rsidR="005339D0">
        <w:rPr>
          <w:rFonts w:asciiTheme="minorHAnsi" w:hAnsiTheme="minorHAnsi" w:cstheme="minorHAnsi"/>
          <w:sz w:val="22"/>
        </w:rPr>
        <w:t xml:space="preserve"> </w:t>
      </w:r>
      <w:r w:rsidRPr="006E6C70">
        <w:rPr>
          <w:rFonts w:asciiTheme="minorHAnsi" w:hAnsiTheme="minorHAnsi" w:cstheme="minorHAnsi"/>
          <w:sz w:val="22"/>
        </w:rPr>
        <w:t>/</w:t>
      </w:r>
      <w:r w:rsidR="005339D0">
        <w:rPr>
          <w:rFonts w:asciiTheme="minorHAnsi" w:hAnsiTheme="minorHAnsi" w:cstheme="minorHAnsi"/>
          <w:sz w:val="22"/>
        </w:rPr>
        <w:t xml:space="preserve"> </w:t>
      </w:r>
      <w:r w:rsidRPr="006E6C70">
        <w:rPr>
          <w:rFonts w:asciiTheme="minorHAnsi" w:hAnsiTheme="minorHAnsi" w:cstheme="minorHAnsi"/>
          <w:sz w:val="22"/>
        </w:rPr>
        <w:t xml:space="preserve">Section Manager and/or local TSR Coordinator for the School to </w:t>
      </w:r>
      <w:r w:rsidR="00A66566" w:rsidRPr="006E6C70">
        <w:rPr>
          <w:rFonts w:asciiTheme="minorHAnsi" w:hAnsiTheme="minorHAnsi" w:cstheme="minorHAnsi"/>
          <w:sz w:val="22"/>
        </w:rPr>
        <w:t xml:space="preserve">review and </w:t>
      </w:r>
      <w:r w:rsidRPr="006E6C70">
        <w:rPr>
          <w:rFonts w:asciiTheme="minorHAnsi" w:hAnsiTheme="minorHAnsi" w:cstheme="minorHAnsi"/>
          <w:sz w:val="22"/>
        </w:rPr>
        <w:t>complete.</w:t>
      </w:r>
    </w:p>
    <w:p w14:paraId="1EE850AA" w14:textId="1FF8A3AA" w:rsidR="003E55D5" w:rsidRPr="006E6C70" w:rsidRDefault="003E55D5" w:rsidP="003E55D5">
      <w:pPr>
        <w:rPr>
          <w:rFonts w:asciiTheme="minorHAnsi" w:hAnsiTheme="minorHAnsi" w:cstheme="minorHAnsi"/>
          <w:sz w:val="22"/>
        </w:rPr>
      </w:pPr>
      <w:r w:rsidRPr="006E6C70">
        <w:rPr>
          <w:rFonts w:asciiTheme="minorHAnsi" w:hAnsiTheme="minorHAnsi" w:cstheme="minorHAnsi"/>
          <w:sz w:val="22"/>
        </w:rPr>
        <w:t>Having carried out</w:t>
      </w:r>
      <w:r w:rsidR="009B7693" w:rsidRPr="006E6C70">
        <w:rPr>
          <w:rFonts w:asciiTheme="minorHAnsi" w:hAnsiTheme="minorHAnsi" w:cstheme="minorHAnsi"/>
          <w:sz w:val="22"/>
        </w:rPr>
        <w:t xml:space="preserve"> an</w:t>
      </w:r>
      <w:r w:rsidRPr="006E6C70">
        <w:rPr>
          <w:rFonts w:asciiTheme="minorHAnsi" w:hAnsiTheme="minorHAnsi" w:cstheme="minorHAnsi"/>
          <w:sz w:val="22"/>
        </w:rPr>
        <w:t xml:space="preserve"> annual review of the School</w:t>
      </w:r>
      <w:r w:rsidR="005339D0">
        <w:rPr>
          <w:rFonts w:asciiTheme="minorHAnsi" w:hAnsiTheme="minorHAnsi" w:cstheme="minorHAnsi"/>
          <w:sz w:val="22"/>
        </w:rPr>
        <w:t xml:space="preserve"> </w:t>
      </w:r>
      <w:r w:rsidRPr="006E6C70">
        <w:rPr>
          <w:rFonts w:asciiTheme="minorHAnsi" w:hAnsiTheme="minorHAnsi" w:cstheme="minorHAnsi"/>
          <w:sz w:val="22"/>
        </w:rPr>
        <w:t>/</w:t>
      </w:r>
      <w:r w:rsidR="005339D0">
        <w:rPr>
          <w:rFonts w:asciiTheme="minorHAnsi" w:hAnsiTheme="minorHAnsi" w:cstheme="minorHAnsi"/>
          <w:sz w:val="22"/>
        </w:rPr>
        <w:t xml:space="preserve"> </w:t>
      </w:r>
      <w:r w:rsidRPr="006E6C70">
        <w:rPr>
          <w:rFonts w:asciiTheme="minorHAnsi" w:hAnsiTheme="minorHAnsi" w:cstheme="minorHAnsi"/>
          <w:sz w:val="22"/>
        </w:rPr>
        <w:t>Section’s Teaching Support requirements for the next academic year, the School</w:t>
      </w:r>
      <w:r w:rsidR="005339D0">
        <w:rPr>
          <w:rFonts w:asciiTheme="minorHAnsi" w:hAnsiTheme="minorHAnsi" w:cstheme="minorHAnsi"/>
          <w:sz w:val="22"/>
        </w:rPr>
        <w:t xml:space="preserve"> </w:t>
      </w:r>
      <w:r w:rsidRPr="006E6C70">
        <w:rPr>
          <w:rFonts w:asciiTheme="minorHAnsi" w:hAnsiTheme="minorHAnsi" w:cstheme="minorHAnsi"/>
          <w:sz w:val="22"/>
        </w:rPr>
        <w:t>/</w:t>
      </w:r>
      <w:r w:rsidR="005339D0">
        <w:rPr>
          <w:rFonts w:asciiTheme="minorHAnsi" w:hAnsiTheme="minorHAnsi" w:cstheme="minorHAnsi"/>
          <w:sz w:val="22"/>
        </w:rPr>
        <w:t xml:space="preserve"> </w:t>
      </w:r>
      <w:r w:rsidRPr="006E6C70">
        <w:rPr>
          <w:rFonts w:asciiTheme="minorHAnsi" w:hAnsiTheme="minorHAnsi" w:cstheme="minorHAnsi"/>
          <w:sz w:val="22"/>
        </w:rPr>
        <w:t xml:space="preserve">Section Manager or TSR Coordinator completes the </w:t>
      </w:r>
      <w:r w:rsidR="00E44188" w:rsidRPr="006E6C70">
        <w:rPr>
          <w:rFonts w:asciiTheme="minorHAnsi" w:hAnsiTheme="minorHAnsi" w:cstheme="minorHAnsi"/>
          <w:sz w:val="22"/>
        </w:rPr>
        <w:t>TSR Toolkit</w:t>
      </w:r>
      <w:r w:rsidRPr="006E6C70">
        <w:rPr>
          <w:rFonts w:asciiTheme="minorHAnsi" w:hAnsiTheme="minorHAnsi" w:cstheme="minorHAnsi"/>
          <w:sz w:val="22"/>
        </w:rPr>
        <w:t xml:space="preserve">, confirming which </w:t>
      </w:r>
      <w:r w:rsidR="00E44188" w:rsidRPr="006E6C70">
        <w:rPr>
          <w:rFonts w:asciiTheme="minorHAnsi" w:hAnsiTheme="minorHAnsi" w:cstheme="minorHAnsi"/>
          <w:sz w:val="22"/>
        </w:rPr>
        <w:t>TSRs</w:t>
      </w:r>
      <w:r w:rsidR="009B7693" w:rsidRPr="006E6C70">
        <w:rPr>
          <w:rFonts w:asciiTheme="minorHAnsi" w:hAnsiTheme="minorHAnsi" w:cstheme="minorHAnsi"/>
          <w:sz w:val="22"/>
        </w:rPr>
        <w:t xml:space="preserve"> </w:t>
      </w:r>
      <w:r w:rsidRPr="006E6C70">
        <w:rPr>
          <w:rFonts w:asciiTheme="minorHAnsi" w:hAnsiTheme="minorHAnsi" w:cstheme="minorHAnsi"/>
          <w:sz w:val="22"/>
        </w:rPr>
        <w:t>are returning, which are leaving and adding the details of new Teaching Support Staff.</w:t>
      </w:r>
      <w:r w:rsidR="00A84C57" w:rsidRPr="006E6C70">
        <w:rPr>
          <w:rFonts w:asciiTheme="minorHAnsi" w:hAnsiTheme="minorHAnsi" w:cstheme="minorHAnsi"/>
          <w:sz w:val="22"/>
        </w:rPr>
        <w:t xml:space="preserve"> </w:t>
      </w:r>
      <w:r w:rsidR="00E44188" w:rsidRPr="006E6C70">
        <w:rPr>
          <w:rFonts w:asciiTheme="minorHAnsi" w:hAnsiTheme="minorHAnsi" w:cstheme="minorHAnsi"/>
          <w:sz w:val="22"/>
        </w:rPr>
        <w:t>D</w:t>
      </w:r>
      <w:r w:rsidR="00A84C57" w:rsidRPr="006E6C70">
        <w:rPr>
          <w:rFonts w:asciiTheme="minorHAnsi" w:hAnsiTheme="minorHAnsi" w:cstheme="minorHAnsi"/>
          <w:sz w:val="22"/>
        </w:rPr>
        <w:t>etail</w:t>
      </w:r>
      <w:r w:rsidR="00E44188" w:rsidRPr="006E6C70">
        <w:rPr>
          <w:rFonts w:asciiTheme="minorHAnsi" w:hAnsiTheme="minorHAnsi" w:cstheme="minorHAnsi"/>
          <w:sz w:val="22"/>
        </w:rPr>
        <w:t>s</w:t>
      </w:r>
      <w:r w:rsidR="00A84C57" w:rsidRPr="006E6C70">
        <w:rPr>
          <w:rFonts w:asciiTheme="minorHAnsi" w:hAnsiTheme="minorHAnsi" w:cstheme="minorHAnsi"/>
          <w:sz w:val="22"/>
        </w:rPr>
        <w:t xml:space="preserve"> of </w:t>
      </w:r>
      <w:r w:rsidR="00E44188" w:rsidRPr="006E6C70">
        <w:rPr>
          <w:rFonts w:asciiTheme="minorHAnsi" w:hAnsiTheme="minorHAnsi" w:cstheme="minorHAnsi"/>
          <w:sz w:val="22"/>
        </w:rPr>
        <w:t xml:space="preserve">TSRs </w:t>
      </w:r>
      <w:r w:rsidR="00A84C57" w:rsidRPr="006E6C70">
        <w:rPr>
          <w:rFonts w:asciiTheme="minorHAnsi" w:hAnsiTheme="minorHAnsi" w:cstheme="minorHAnsi"/>
          <w:sz w:val="22"/>
        </w:rPr>
        <w:t xml:space="preserve">returning for the following year can be submitted </w:t>
      </w:r>
      <w:r w:rsidR="00E44188" w:rsidRPr="006E6C70">
        <w:rPr>
          <w:rFonts w:asciiTheme="minorHAnsi" w:hAnsiTheme="minorHAnsi" w:cstheme="minorHAnsi"/>
          <w:sz w:val="22"/>
        </w:rPr>
        <w:t xml:space="preserve">as extensions </w:t>
      </w:r>
      <w:r w:rsidR="00A84C57" w:rsidRPr="006E6C70">
        <w:rPr>
          <w:rFonts w:asciiTheme="minorHAnsi" w:hAnsiTheme="minorHAnsi" w:cstheme="minorHAnsi"/>
          <w:sz w:val="22"/>
        </w:rPr>
        <w:t>earlier in the process where appropriate</w:t>
      </w:r>
      <w:r w:rsidR="000C245B" w:rsidRPr="006E6C70">
        <w:rPr>
          <w:rFonts w:asciiTheme="minorHAnsi" w:hAnsiTheme="minorHAnsi" w:cstheme="minorHAnsi"/>
          <w:sz w:val="22"/>
        </w:rPr>
        <w:t xml:space="preserve"> and following the agreed central timeline</w:t>
      </w:r>
      <w:r w:rsidR="00A84C57" w:rsidRPr="006E6C70">
        <w:rPr>
          <w:rFonts w:asciiTheme="minorHAnsi" w:hAnsiTheme="minorHAnsi" w:cstheme="minorHAnsi"/>
          <w:sz w:val="22"/>
        </w:rPr>
        <w:t>. This helps to avoid any workload bottlenecks in</w:t>
      </w:r>
      <w:r w:rsidR="0092786E" w:rsidRPr="006E6C70">
        <w:rPr>
          <w:rFonts w:asciiTheme="minorHAnsi" w:hAnsiTheme="minorHAnsi" w:cstheme="minorHAnsi"/>
          <w:sz w:val="22"/>
        </w:rPr>
        <w:t xml:space="preserve"> the</w:t>
      </w:r>
      <w:r w:rsidR="00A84C57" w:rsidRPr="006E6C70">
        <w:rPr>
          <w:rFonts w:asciiTheme="minorHAnsi" w:hAnsiTheme="minorHAnsi" w:cstheme="minorHAnsi"/>
          <w:sz w:val="22"/>
        </w:rPr>
        <w:t xml:space="preserve"> </w:t>
      </w:r>
      <w:r w:rsidR="002A30BC" w:rsidRPr="006E6C70">
        <w:rPr>
          <w:rFonts w:asciiTheme="minorHAnsi" w:hAnsiTheme="minorHAnsi" w:cstheme="minorHAnsi"/>
          <w:sz w:val="22"/>
        </w:rPr>
        <w:t>TSR Processing Team</w:t>
      </w:r>
      <w:r w:rsidR="00A84C57" w:rsidRPr="006E6C70">
        <w:rPr>
          <w:rFonts w:asciiTheme="minorHAnsi" w:hAnsiTheme="minorHAnsi" w:cstheme="minorHAnsi"/>
          <w:sz w:val="22"/>
        </w:rPr>
        <w:t>.</w:t>
      </w:r>
      <w:r w:rsidRPr="006E6C70">
        <w:rPr>
          <w:rFonts w:asciiTheme="minorHAnsi" w:hAnsiTheme="minorHAnsi" w:cstheme="minorHAnsi"/>
          <w:sz w:val="22"/>
        </w:rPr>
        <w:t xml:space="preserve"> </w:t>
      </w:r>
      <w:r w:rsidR="00E44188" w:rsidRPr="006E6C70">
        <w:rPr>
          <w:rFonts w:asciiTheme="minorHAnsi" w:hAnsiTheme="minorHAnsi" w:cstheme="minorHAnsi"/>
          <w:sz w:val="22"/>
        </w:rPr>
        <w:t>Extension requests will still need to be reviewed for sign off by the HR Business Partnering Team.</w:t>
      </w:r>
    </w:p>
    <w:p w14:paraId="516B5210" w14:textId="2E1BD768" w:rsidR="003E55D5" w:rsidRPr="006E6C70" w:rsidRDefault="00D83E3E" w:rsidP="003E55D5">
      <w:pPr>
        <w:rPr>
          <w:rFonts w:asciiTheme="minorHAnsi" w:hAnsiTheme="minorHAnsi" w:cstheme="minorHAnsi"/>
          <w:sz w:val="22"/>
        </w:rPr>
      </w:pPr>
      <w:r w:rsidRPr="006E6C70">
        <w:rPr>
          <w:rFonts w:asciiTheme="minorHAnsi" w:hAnsiTheme="minorHAnsi" w:cstheme="minorHAnsi"/>
          <w:sz w:val="22"/>
        </w:rPr>
        <w:t>The School / Section Manager or TSR Coordinator uploads the</w:t>
      </w:r>
      <w:r w:rsidR="009B7693" w:rsidRPr="006E6C70">
        <w:rPr>
          <w:rFonts w:asciiTheme="minorHAnsi" w:hAnsiTheme="minorHAnsi" w:cstheme="minorHAnsi"/>
          <w:sz w:val="22"/>
        </w:rPr>
        <w:t xml:space="preserve"> completed</w:t>
      </w:r>
      <w:r w:rsidRPr="006E6C70">
        <w:rPr>
          <w:rFonts w:asciiTheme="minorHAnsi" w:hAnsiTheme="minorHAnsi" w:cstheme="minorHAnsi"/>
          <w:sz w:val="22"/>
        </w:rPr>
        <w:t xml:space="preserve"> </w:t>
      </w:r>
      <w:r w:rsidR="00E44188" w:rsidRPr="006E6C70">
        <w:rPr>
          <w:rFonts w:asciiTheme="minorHAnsi" w:hAnsiTheme="minorHAnsi" w:cstheme="minorHAnsi"/>
          <w:sz w:val="22"/>
        </w:rPr>
        <w:t xml:space="preserve">TSR Toolkit </w:t>
      </w:r>
      <w:r w:rsidR="00AF28BF" w:rsidRPr="006E6C70">
        <w:rPr>
          <w:rFonts w:asciiTheme="minorHAnsi" w:hAnsiTheme="minorHAnsi" w:cstheme="minorHAnsi"/>
          <w:sz w:val="22"/>
        </w:rPr>
        <w:t xml:space="preserve">in line with </w:t>
      </w:r>
      <w:r w:rsidR="00642659" w:rsidRPr="006E6C70">
        <w:rPr>
          <w:rFonts w:asciiTheme="minorHAnsi" w:hAnsiTheme="minorHAnsi" w:cstheme="minorHAnsi"/>
          <w:sz w:val="22"/>
        </w:rPr>
        <w:t xml:space="preserve">the </w:t>
      </w:r>
      <w:r w:rsidR="00AF28BF" w:rsidRPr="006E6C70">
        <w:rPr>
          <w:rFonts w:asciiTheme="minorHAnsi" w:hAnsiTheme="minorHAnsi" w:cstheme="minorHAnsi"/>
          <w:sz w:val="22"/>
        </w:rPr>
        <w:t xml:space="preserve">agreed timeline </w:t>
      </w:r>
      <w:r w:rsidRPr="006E6C70">
        <w:rPr>
          <w:rFonts w:asciiTheme="minorHAnsi" w:hAnsiTheme="minorHAnsi" w:cstheme="minorHAnsi"/>
          <w:sz w:val="22"/>
        </w:rPr>
        <w:t>to the TSR Processing Team SharePoint site for approval</w:t>
      </w:r>
      <w:r w:rsidR="0001435D" w:rsidRPr="006E6C70">
        <w:rPr>
          <w:rFonts w:asciiTheme="minorHAnsi" w:hAnsiTheme="minorHAnsi" w:cstheme="minorHAnsi"/>
          <w:sz w:val="22"/>
        </w:rPr>
        <w:t>.</w:t>
      </w:r>
      <w:r w:rsidRPr="006E6C70">
        <w:rPr>
          <w:rFonts w:asciiTheme="minorHAnsi" w:hAnsiTheme="minorHAnsi" w:cstheme="minorHAnsi"/>
          <w:sz w:val="22"/>
        </w:rPr>
        <w:t xml:space="preserve"> </w:t>
      </w:r>
      <w:r w:rsidR="0001435D" w:rsidRPr="006E6C70">
        <w:rPr>
          <w:rFonts w:asciiTheme="minorHAnsi" w:hAnsiTheme="minorHAnsi" w:cstheme="minorHAnsi"/>
          <w:sz w:val="22"/>
        </w:rPr>
        <w:t>T</w:t>
      </w:r>
      <w:r w:rsidRPr="006E6C70">
        <w:rPr>
          <w:rFonts w:asciiTheme="minorHAnsi" w:hAnsiTheme="minorHAnsi" w:cstheme="minorHAnsi"/>
          <w:sz w:val="22"/>
        </w:rPr>
        <w:t xml:space="preserve">his will trigger an auto alert to the </w:t>
      </w:r>
      <w:r w:rsidR="000C245B" w:rsidRPr="006E6C70">
        <w:rPr>
          <w:rFonts w:asciiTheme="minorHAnsi" w:hAnsiTheme="minorHAnsi" w:cstheme="minorHAnsi"/>
          <w:sz w:val="22"/>
        </w:rPr>
        <w:t xml:space="preserve">TSR Processing Team to check the </w:t>
      </w:r>
      <w:r w:rsidR="00E44188" w:rsidRPr="006E6C70">
        <w:rPr>
          <w:rFonts w:asciiTheme="minorHAnsi" w:hAnsiTheme="minorHAnsi" w:cstheme="minorHAnsi"/>
          <w:sz w:val="22"/>
        </w:rPr>
        <w:t>TSR Toolkit to ensure there is no missing information</w:t>
      </w:r>
      <w:r w:rsidR="000C245B" w:rsidRPr="006E6C70">
        <w:rPr>
          <w:rFonts w:asciiTheme="minorHAnsi" w:hAnsiTheme="minorHAnsi" w:cstheme="minorHAnsi"/>
          <w:sz w:val="22"/>
        </w:rPr>
        <w:t xml:space="preserve">, the </w:t>
      </w:r>
      <w:r w:rsidRPr="006E6C70">
        <w:rPr>
          <w:rFonts w:asciiTheme="minorHAnsi" w:hAnsiTheme="minorHAnsi" w:cstheme="minorHAnsi"/>
          <w:sz w:val="22"/>
        </w:rPr>
        <w:t>HR Business Partner</w:t>
      </w:r>
      <w:r w:rsidR="000C245B" w:rsidRPr="006E6C70">
        <w:rPr>
          <w:rFonts w:asciiTheme="minorHAnsi" w:hAnsiTheme="minorHAnsi" w:cstheme="minorHAnsi"/>
          <w:sz w:val="22"/>
        </w:rPr>
        <w:t>s</w:t>
      </w:r>
      <w:r w:rsidRPr="006E6C70">
        <w:rPr>
          <w:rFonts w:asciiTheme="minorHAnsi" w:hAnsiTheme="minorHAnsi" w:cstheme="minorHAnsi"/>
          <w:sz w:val="22"/>
        </w:rPr>
        <w:t xml:space="preserve"> </w:t>
      </w:r>
      <w:r w:rsidR="000C245B" w:rsidRPr="006E6C70">
        <w:rPr>
          <w:rFonts w:asciiTheme="minorHAnsi" w:hAnsiTheme="minorHAnsi" w:cstheme="minorHAnsi"/>
          <w:sz w:val="22"/>
        </w:rPr>
        <w:t xml:space="preserve">will </w:t>
      </w:r>
      <w:r w:rsidR="00E44188" w:rsidRPr="006E6C70">
        <w:rPr>
          <w:rFonts w:asciiTheme="minorHAnsi" w:hAnsiTheme="minorHAnsi" w:cstheme="minorHAnsi"/>
          <w:sz w:val="22"/>
        </w:rPr>
        <w:t xml:space="preserve">only </w:t>
      </w:r>
      <w:r w:rsidRPr="006E6C70">
        <w:rPr>
          <w:rFonts w:asciiTheme="minorHAnsi" w:hAnsiTheme="minorHAnsi" w:cstheme="minorHAnsi"/>
          <w:sz w:val="22"/>
        </w:rPr>
        <w:t>review</w:t>
      </w:r>
      <w:r w:rsidR="000C245B" w:rsidRPr="006E6C70">
        <w:rPr>
          <w:rFonts w:asciiTheme="minorHAnsi" w:hAnsiTheme="minorHAnsi" w:cstheme="minorHAnsi"/>
          <w:sz w:val="22"/>
        </w:rPr>
        <w:t xml:space="preserve"> </w:t>
      </w:r>
      <w:r w:rsidR="00E44188" w:rsidRPr="006E6C70">
        <w:rPr>
          <w:rFonts w:asciiTheme="minorHAnsi" w:hAnsiTheme="minorHAnsi" w:cstheme="minorHAnsi"/>
          <w:sz w:val="22"/>
        </w:rPr>
        <w:t>completed Toolkits.</w:t>
      </w:r>
      <w:r w:rsidRPr="006E6C70">
        <w:rPr>
          <w:rFonts w:asciiTheme="minorHAnsi" w:hAnsiTheme="minorHAnsi" w:cstheme="minorHAnsi"/>
          <w:sz w:val="22"/>
        </w:rPr>
        <w:t xml:space="preserve"> Once </w:t>
      </w:r>
      <w:r w:rsidR="000C245B" w:rsidRPr="006E6C70">
        <w:rPr>
          <w:rFonts w:asciiTheme="minorHAnsi" w:hAnsiTheme="minorHAnsi" w:cstheme="minorHAnsi"/>
          <w:sz w:val="22"/>
        </w:rPr>
        <w:t xml:space="preserve">the HR Business Partners confirm </w:t>
      </w:r>
      <w:r w:rsidRPr="006E6C70">
        <w:rPr>
          <w:rFonts w:asciiTheme="minorHAnsi" w:hAnsiTheme="minorHAnsi" w:cstheme="minorHAnsi"/>
          <w:sz w:val="22"/>
        </w:rPr>
        <w:t>approval</w:t>
      </w:r>
      <w:r w:rsidR="00E44188" w:rsidRPr="006E6C70">
        <w:rPr>
          <w:rFonts w:asciiTheme="minorHAnsi" w:hAnsiTheme="minorHAnsi" w:cstheme="minorHAnsi"/>
          <w:sz w:val="22"/>
        </w:rPr>
        <w:t>,</w:t>
      </w:r>
      <w:r w:rsidR="000C245B" w:rsidRPr="006E6C70">
        <w:rPr>
          <w:rFonts w:asciiTheme="minorHAnsi" w:hAnsiTheme="minorHAnsi" w:cstheme="minorHAnsi"/>
          <w:sz w:val="22"/>
        </w:rPr>
        <w:t xml:space="preserve"> </w:t>
      </w:r>
      <w:r w:rsidR="0092786E" w:rsidRPr="006E6C70">
        <w:rPr>
          <w:rFonts w:asciiTheme="minorHAnsi" w:hAnsiTheme="minorHAnsi" w:cstheme="minorHAnsi"/>
          <w:sz w:val="22"/>
        </w:rPr>
        <w:t>the</w:t>
      </w:r>
      <w:r w:rsidR="003E55D5" w:rsidRPr="006E6C70">
        <w:rPr>
          <w:rFonts w:asciiTheme="minorHAnsi" w:hAnsiTheme="minorHAnsi" w:cstheme="minorHAnsi"/>
          <w:sz w:val="22"/>
        </w:rPr>
        <w:t xml:space="preserve"> </w:t>
      </w:r>
      <w:r w:rsidR="002A30BC" w:rsidRPr="006E6C70">
        <w:rPr>
          <w:rFonts w:asciiTheme="minorHAnsi" w:hAnsiTheme="minorHAnsi" w:cstheme="minorHAnsi"/>
          <w:sz w:val="22"/>
        </w:rPr>
        <w:t>TSR Processing Team</w:t>
      </w:r>
      <w:r w:rsidR="003E55D5" w:rsidRPr="006E6C70">
        <w:rPr>
          <w:rFonts w:asciiTheme="minorHAnsi" w:hAnsiTheme="minorHAnsi" w:cstheme="minorHAnsi"/>
          <w:sz w:val="22"/>
        </w:rPr>
        <w:t xml:space="preserve"> issue new contracts, </w:t>
      </w:r>
      <w:r w:rsidR="00006FBB" w:rsidRPr="006E6C70">
        <w:rPr>
          <w:rFonts w:asciiTheme="minorHAnsi" w:hAnsiTheme="minorHAnsi" w:cstheme="minorHAnsi"/>
          <w:sz w:val="22"/>
        </w:rPr>
        <w:t xml:space="preserve">complete right to work checks, </w:t>
      </w:r>
      <w:r w:rsidR="003E55D5" w:rsidRPr="006E6C70">
        <w:rPr>
          <w:rFonts w:asciiTheme="minorHAnsi" w:hAnsiTheme="minorHAnsi" w:cstheme="minorHAnsi"/>
          <w:sz w:val="22"/>
        </w:rPr>
        <w:t>extend or create new employments</w:t>
      </w:r>
      <w:r w:rsidR="00C41937" w:rsidRPr="006E6C70">
        <w:rPr>
          <w:rFonts w:asciiTheme="minorHAnsi" w:hAnsiTheme="minorHAnsi" w:cstheme="minorHAnsi"/>
          <w:sz w:val="22"/>
        </w:rPr>
        <w:t xml:space="preserve"> on MyERP</w:t>
      </w:r>
      <w:r w:rsidR="003E55D5" w:rsidRPr="006E6C70">
        <w:rPr>
          <w:rFonts w:asciiTheme="minorHAnsi" w:hAnsiTheme="minorHAnsi" w:cstheme="minorHAnsi"/>
          <w:sz w:val="22"/>
        </w:rPr>
        <w:t>, and process those who are not returning</w:t>
      </w:r>
      <w:r w:rsidR="00006FBB" w:rsidRPr="006E6C70">
        <w:rPr>
          <w:rFonts w:asciiTheme="minorHAnsi" w:hAnsiTheme="minorHAnsi" w:cstheme="minorHAnsi"/>
          <w:sz w:val="22"/>
        </w:rPr>
        <w:t xml:space="preserve"> as leavers</w:t>
      </w:r>
      <w:r w:rsidR="003E55D5" w:rsidRPr="006E6C70">
        <w:rPr>
          <w:rFonts w:asciiTheme="minorHAnsi" w:hAnsiTheme="minorHAnsi" w:cstheme="minorHAnsi"/>
          <w:sz w:val="22"/>
        </w:rPr>
        <w:t xml:space="preserve"> </w:t>
      </w:r>
      <w:r w:rsidR="00006FBB" w:rsidRPr="006E6C70">
        <w:rPr>
          <w:rFonts w:asciiTheme="minorHAnsi" w:hAnsiTheme="minorHAnsi" w:cstheme="minorHAnsi"/>
          <w:sz w:val="22"/>
        </w:rPr>
        <w:t>whe</w:t>
      </w:r>
      <w:r w:rsidR="00564A5A" w:rsidRPr="006E6C70">
        <w:rPr>
          <w:rFonts w:asciiTheme="minorHAnsi" w:hAnsiTheme="minorHAnsi" w:cstheme="minorHAnsi"/>
          <w:sz w:val="22"/>
        </w:rPr>
        <w:t>re</w:t>
      </w:r>
      <w:r w:rsidR="00006FBB" w:rsidRPr="006E6C70">
        <w:rPr>
          <w:rFonts w:asciiTheme="minorHAnsi" w:hAnsiTheme="minorHAnsi" w:cstheme="minorHAnsi"/>
          <w:sz w:val="22"/>
        </w:rPr>
        <w:t xml:space="preserve"> </w:t>
      </w:r>
      <w:r w:rsidR="003E55D5" w:rsidRPr="006E6C70">
        <w:rPr>
          <w:rFonts w:asciiTheme="minorHAnsi" w:hAnsiTheme="minorHAnsi" w:cstheme="minorHAnsi"/>
          <w:sz w:val="22"/>
        </w:rPr>
        <w:t xml:space="preserve">appropriate.  </w:t>
      </w:r>
    </w:p>
    <w:p w14:paraId="0B77EA97" w14:textId="77777777" w:rsidR="003E55D5" w:rsidRPr="00436021" w:rsidRDefault="003E55D5" w:rsidP="003E55D5">
      <w:pPr>
        <w:rPr>
          <w:rFonts w:asciiTheme="minorHAnsi" w:hAnsiTheme="minorHAnsi" w:cstheme="minorHAnsi"/>
          <w:sz w:val="22"/>
        </w:rPr>
      </w:pPr>
    </w:p>
    <w:p w14:paraId="126F6625" w14:textId="227896DB" w:rsidR="003E55D5" w:rsidRPr="009B7693" w:rsidRDefault="003E55D5" w:rsidP="00270B01">
      <w:pPr>
        <w:pStyle w:val="Heading3"/>
      </w:pPr>
      <w:bookmarkStart w:id="9" w:name="_Toc177982921"/>
      <w:r w:rsidRPr="009B7693">
        <w:t xml:space="preserve">Populating the TSR </w:t>
      </w:r>
      <w:r w:rsidR="00C8337B" w:rsidRPr="00270B01">
        <w:t>Toolkit</w:t>
      </w:r>
      <w:bookmarkEnd w:id="9"/>
    </w:p>
    <w:p w14:paraId="56AE5143" w14:textId="7982CA6C" w:rsidR="003E55D5" w:rsidRPr="002C186F" w:rsidRDefault="003E55D5" w:rsidP="003E55D5">
      <w:pPr>
        <w:rPr>
          <w:rFonts w:asciiTheme="minorHAnsi" w:hAnsiTheme="minorHAnsi" w:cstheme="minorHAnsi"/>
          <w:sz w:val="22"/>
        </w:rPr>
      </w:pPr>
      <w:r w:rsidRPr="002C186F">
        <w:rPr>
          <w:rFonts w:asciiTheme="minorHAnsi" w:hAnsiTheme="minorHAnsi" w:cstheme="minorHAnsi"/>
          <w:sz w:val="22"/>
        </w:rPr>
        <w:t>The</w:t>
      </w:r>
      <w:r w:rsidR="007E248C" w:rsidRPr="002C186F">
        <w:rPr>
          <w:rFonts w:asciiTheme="minorHAnsi" w:hAnsiTheme="minorHAnsi" w:cstheme="minorHAnsi"/>
          <w:sz w:val="22"/>
        </w:rPr>
        <w:t xml:space="preserve">re are three tabs </w:t>
      </w:r>
      <w:r w:rsidR="003630D1" w:rsidRPr="002C186F">
        <w:rPr>
          <w:rFonts w:asciiTheme="minorHAnsi" w:hAnsiTheme="minorHAnsi" w:cstheme="minorHAnsi"/>
          <w:sz w:val="22"/>
        </w:rPr>
        <w:t xml:space="preserve">on the TSR Toolkit </w:t>
      </w:r>
      <w:r w:rsidR="007E248C" w:rsidRPr="002C186F">
        <w:rPr>
          <w:rFonts w:asciiTheme="minorHAnsi" w:hAnsiTheme="minorHAnsi" w:cstheme="minorHAnsi"/>
          <w:sz w:val="22"/>
        </w:rPr>
        <w:t>that School</w:t>
      </w:r>
      <w:r w:rsidR="00DB569E">
        <w:rPr>
          <w:rFonts w:asciiTheme="minorHAnsi" w:hAnsiTheme="minorHAnsi" w:cstheme="minorHAnsi"/>
          <w:sz w:val="22"/>
        </w:rPr>
        <w:t xml:space="preserve"> </w:t>
      </w:r>
      <w:r w:rsidR="007E248C" w:rsidRPr="002C186F">
        <w:rPr>
          <w:rFonts w:asciiTheme="minorHAnsi" w:hAnsiTheme="minorHAnsi" w:cstheme="minorHAnsi"/>
          <w:sz w:val="22"/>
        </w:rPr>
        <w:t>/</w:t>
      </w:r>
      <w:r w:rsidR="00DB569E">
        <w:rPr>
          <w:rFonts w:asciiTheme="minorHAnsi" w:hAnsiTheme="minorHAnsi" w:cstheme="minorHAnsi"/>
          <w:sz w:val="22"/>
        </w:rPr>
        <w:t xml:space="preserve"> </w:t>
      </w:r>
      <w:r w:rsidR="007E248C" w:rsidRPr="002C186F">
        <w:rPr>
          <w:rFonts w:asciiTheme="minorHAnsi" w:hAnsiTheme="minorHAnsi" w:cstheme="minorHAnsi"/>
          <w:sz w:val="22"/>
        </w:rPr>
        <w:t>Section Managers</w:t>
      </w:r>
      <w:r w:rsidR="003630D1" w:rsidRPr="002C186F">
        <w:rPr>
          <w:rFonts w:asciiTheme="minorHAnsi" w:hAnsiTheme="minorHAnsi" w:cstheme="minorHAnsi"/>
          <w:sz w:val="22"/>
        </w:rPr>
        <w:t xml:space="preserve"> or TSR Coordinators</w:t>
      </w:r>
      <w:r w:rsidR="007E248C" w:rsidRPr="002C186F">
        <w:rPr>
          <w:rFonts w:asciiTheme="minorHAnsi" w:hAnsiTheme="minorHAnsi" w:cstheme="minorHAnsi"/>
          <w:sz w:val="22"/>
        </w:rPr>
        <w:t xml:space="preserve"> need to complete for contract requests and leaver information (TSR Extensions, New TSRs and TSR Leavers).</w:t>
      </w:r>
      <w:r w:rsidR="009635D5" w:rsidRPr="002C186F">
        <w:rPr>
          <w:rFonts w:asciiTheme="minorHAnsi" w:hAnsiTheme="minorHAnsi" w:cstheme="minorHAnsi"/>
          <w:sz w:val="22"/>
        </w:rPr>
        <w:t xml:space="preserve"> </w:t>
      </w:r>
      <w:r w:rsidR="007E248C" w:rsidRPr="002C186F">
        <w:rPr>
          <w:rFonts w:asciiTheme="minorHAnsi" w:hAnsiTheme="minorHAnsi" w:cstheme="minorHAnsi"/>
          <w:sz w:val="22"/>
        </w:rPr>
        <w:t xml:space="preserve">The columns on the TSR Extensions and New TSRs tabs </w:t>
      </w:r>
      <w:r w:rsidR="009635D5" w:rsidRPr="002C186F">
        <w:rPr>
          <w:rFonts w:asciiTheme="minorHAnsi" w:hAnsiTheme="minorHAnsi" w:cstheme="minorHAnsi"/>
          <w:sz w:val="22"/>
        </w:rPr>
        <w:t xml:space="preserve">are </w:t>
      </w:r>
      <w:r w:rsidRPr="002C186F">
        <w:rPr>
          <w:rFonts w:asciiTheme="minorHAnsi" w:hAnsiTheme="minorHAnsi" w:cstheme="minorHAnsi"/>
          <w:sz w:val="22"/>
        </w:rPr>
        <w:t>divided into sections</w:t>
      </w:r>
      <w:r w:rsidR="00DB569E">
        <w:rPr>
          <w:rFonts w:asciiTheme="minorHAnsi" w:hAnsiTheme="minorHAnsi" w:cstheme="minorHAnsi"/>
          <w:sz w:val="22"/>
        </w:rPr>
        <w:t>:</w:t>
      </w:r>
      <w:r w:rsidRPr="002C186F">
        <w:rPr>
          <w:rFonts w:asciiTheme="minorHAnsi" w:hAnsiTheme="minorHAnsi" w:cstheme="minorHAnsi"/>
          <w:sz w:val="22"/>
        </w:rPr>
        <w:t xml:space="preserve"> </w:t>
      </w:r>
      <w:r w:rsidR="007E248C" w:rsidRPr="002C186F">
        <w:rPr>
          <w:rFonts w:asciiTheme="minorHAnsi" w:hAnsiTheme="minorHAnsi" w:cstheme="minorHAnsi"/>
          <w:sz w:val="22"/>
        </w:rPr>
        <w:t>p</w:t>
      </w:r>
      <w:r w:rsidRPr="002C186F">
        <w:rPr>
          <w:rFonts w:asciiTheme="minorHAnsi" w:hAnsiTheme="minorHAnsi" w:cstheme="minorHAnsi"/>
          <w:sz w:val="22"/>
        </w:rPr>
        <w:t xml:space="preserve">ersonal </w:t>
      </w:r>
      <w:r w:rsidR="007E248C" w:rsidRPr="002C186F">
        <w:rPr>
          <w:rFonts w:asciiTheme="minorHAnsi" w:hAnsiTheme="minorHAnsi" w:cstheme="minorHAnsi"/>
          <w:sz w:val="22"/>
        </w:rPr>
        <w:t>d</w:t>
      </w:r>
      <w:r w:rsidRPr="002C186F">
        <w:rPr>
          <w:rFonts w:asciiTheme="minorHAnsi" w:hAnsiTheme="minorHAnsi" w:cstheme="minorHAnsi"/>
          <w:sz w:val="22"/>
        </w:rPr>
        <w:t>etail</w:t>
      </w:r>
      <w:r w:rsidR="007E248C" w:rsidRPr="002C186F">
        <w:rPr>
          <w:rFonts w:asciiTheme="minorHAnsi" w:hAnsiTheme="minorHAnsi" w:cstheme="minorHAnsi"/>
          <w:sz w:val="22"/>
        </w:rPr>
        <w:t>s</w:t>
      </w:r>
      <w:r w:rsidRPr="002C186F">
        <w:rPr>
          <w:rFonts w:asciiTheme="minorHAnsi" w:hAnsiTheme="minorHAnsi" w:cstheme="minorHAnsi"/>
          <w:sz w:val="22"/>
        </w:rPr>
        <w:t xml:space="preserve">, </w:t>
      </w:r>
      <w:r w:rsidR="007E248C" w:rsidRPr="002C186F">
        <w:rPr>
          <w:rFonts w:asciiTheme="minorHAnsi" w:hAnsiTheme="minorHAnsi" w:cstheme="minorHAnsi"/>
          <w:sz w:val="22"/>
        </w:rPr>
        <w:t>c</w:t>
      </w:r>
      <w:r w:rsidRPr="002C186F">
        <w:rPr>
          <w:rFonts w:asciiTheme="minorHAnsi" w:hAnsiTheme="minorHAnsi" w:cstheme="minorHAnsi"/>
          <w:sz w:val="22"/>
        </w:rPr>
        <w:t xml:space="preserve">urrent </w:t>
      </w:r>
      <w:r w:rsidR="007E248C" w:rsidRPr="002C186F">
        <w:rPr>
          <w:rFonts w:asciiTheme="minorHAnsi" w:hAnsiTheme="minorHAnsi" w:cstheme="minorHAnsi"/>
          <w:sz w:val="22"/>
        </w:rPr>
        <w:t>c</w:t>
      </w:r>
      <w:r w:rsidRPr="002C186F">
        <w:rPr>
          <w:rFonts w:asciiTheme="minorHAnsi" w:hAnsiTheme="minorHAnsi" w:cstheme="minorHAnsi"/>
          <w:sz w:val="22"/>
        </w:rPr>
        <w:t xml:space="preserve">ontract </w:t>
      </w:r>
      <w:r w:rsidR="007E248C" w:rsidRPr="002C186F">
        <w:rPr>
          <w:rFonts w:asciiTheme="minorHAnsi" w:hAnsiTheme="minorHAnsi" w:cstheme="minorHAnsi"/>
          <w:sz w:val="22"/>
        </w:rPr>
        <w:t>d</w:t>
      </w:r>
      <w:r w:rsidRPr="002C186F">
        <w:rPr>
          <w:rFonts w:asciiTheme="minorHAnsi" w:hAnsiTheme="minorHAnsi" w:cstheme="minorHAnsi"/>
          <w:sz w:val="22"/>
        </w:rPr>
        <w:t xml:space="preserve">etails </w:t>
      </w:r>
      <w:r w:rsidR="007E248C" w:rsidRPr="002C186F">
        <w:rPr>
          <w:rFonts w:asciiTheme="minorHAnsi" w:hAnsiTheme="minorHAnsi" w:cstheme="minorHAnsi"/>
          <w:sz w:val="22"/>
        </w:rPr>
        <w:t xml:space="preserve">(for extensions) </w:t>
      </w:r>
      <w:r w:rsidRPr="002C186F">
        <w:rPr>
          <w:rFonts w:asciiTheme="minorHAnsi" w:hAnsiTheme="minorHAnsi" w:cstheme="minorHAnsi"/>
          <w:sz w:val="22"/>
        </w:rPr>
        <w:t xml:space="preserve">and </w:t>
      </w:r>
      <w:r w:rsidR="007E248C" w:rsidRPr="002C186F">
        <w:rPr>
          <w:rFonts w:asciiTheme="minorHAnsi" w:hAnsiTheme="minorHAnsi" w:cstheme="minorHAnsi"/>
          <w:sz w:val="22"/>
        </w:rPr>
        <w:t>n</w:t>
      </w:r>
      <w:r w:rsidRPr="002C186F">
        <w:rPr>
          <w:rFonts w:asciiTheme="minorHAnsi" w:hAnsiTheme="minorHAnsi" w:cstheme="minorHAnsi"/>
          <w:sz w:val="22"/>
        </w:rPr>
        <w:t xml:space="preserve">ew </w:t>
      </w:r>
      <w:r w:rsidR="007E248C" w:rsidRPr="002C186F">
        <w:rPr>
          <w:rFonts w:asciiTheme="minorHAnsi" w:hAnsiTheme="minorHAnsi" w:cstheme="minorHAnsi"/>
          <w:sz w:val="22"/>
        </w:rPr>
        <w:t>c</w:t>
      </w:r>
      <w:r w:rsidRPr="002C186F">
        <w:rPr>
          <w:rFonts w:asciiTheme="minorHAnsi" w:hAnsiTheme="minorHAnsi" w:cstheme="minorHAnsi"/>
          <w:sz w:val="22"/>
        </w:rPr>
        <w:t>ontract</w:t>
      </w:r>
      <w:r w:rsidR="007E248C" w:rsidRPr="002C186F">
        <w:rPr>
          <w:rFonts w:asciiTheme="minorHAnsi" w:hAnsiTheme="minorHAnsi" w:cstheme="minorHAnsi"/>
          <w:sz w:val="22"/>
        </w:rPr>
        <w:t>/extension</w:t>
      </w:r>
      <w:r w:rsidRPr="002C186F">
        <w:rPr>
          <w:rFonts w:asciiTheme="minorHAnsi" w:hAnsiTheme="minorHAnsi" w:cstheme="minorHAnsi"/>
          <w:sz w:val="22"/>
        </w:rPr>
        <w:t xml:space="preserve"> </w:t>
      </w:r>
      <w:r w:rsidR="007E248C" w:rsidRPr="002C186F">
        <w:rPr>
          <w:rFonts w:asciiTheme="minorHAnsi" w:hAnsiTheme="minorHAnsi" w:cstheme="minorHAnsi"/>
          <w:sz w:val="22"/>
        </w:rPr>
        <w:t>d</w:t>
      </w:r>
      <w:r w:rsidRPr="002C186F">
        <w:rPr>
          <w:rFonts w:asciiTheme="minorHAnsi" w:hAnsiTheme="minorHAnsi" w:cstheme="minorHAnsi"/>
          <w:sz w:val="22"/>
        </w:rPr>
        <w:t>etails. The School</w:t>
      </w:r>
      <w:r w:rsidR="00DB569E">
        <w:rPr>
          <w:rFonts w:asciiTheme="minorHAnsi" w:hAnsiTheme="minorHAnsi" w:cstheme="minorHAnsi"/>
          <w:sz w:val="22"/>
        </w:rPr>
        <w:t xml:space="preserve"> </w:t>
      </w:r>
      <w:r w:rsidRPr="002C186F">
        <w:rPr>
          <w:rFonts w:asciiTheme="minorHAnsi" w:hAnsiTheme="minorHAnsi" w:cstheme="minorHAnsi"/>
          <w:sz w:val="22"/>
        </w:rPr>
        <w:t>/</w:t>
      </w:r>
      <w:r w:rsidR="00DB569E">
        <w:rPr>
          <w:rFonts w:asciiTheme="minorHAnsi" w:hAnsiTheme="minorHAnsi" w:cstheme="minorHAnsi"/>
          <w:sz w:val="22"/>
        </w:rPr>
        <w:t xml:space="preserve"> </w:t>
      </w:r>
      <w:r w:rsidRPr="002C186F">
        <w:rPr>
          <w:rFonts w:asciiTheme="minorHAnsi" w:hAnsiTheme="minorHAnsi" w:cstheme="minorHAnsi"/>
          <w:sz w:val="22"/>
        </w:rPr>
        <w:t xml:space="preserve">Section Manager or TSR Coordinator should indicate on the </w:t>
      </w:r>
      <w:r w:rsidR="003630D1" w:rsidRPr="002C186F">
        <w:rPr>
          <w:rFonts w:asciiTheme="minorHAnsi" w:hAnsiTheme="minorHAnsi" w:cstheme="minorHAnsi"/>
          <w:sz w:val="22"/>
        </w:rPr>
        <w:t xml:space="preserve">TSR </w:t>
      </w:r>
      <w:r w:rsidR="004D6E12" w:rsidRPr="002C186F">
        <w:rPr>
          <w:rFonts w:asciiTheme="minorHAnsi" w:hAnsiTheme="minorHAnsi" w:cstheme="minorHAnsi"/>
          <w:sz w:val="22"/>
        </w:rPr>
        <w:t>Toolkit</w:t>
      </w:r>
      <w:r w:rsidRPr="002C186F">
        <w:rPr>
          <w:rFonts w:asciiTheme="minorHAnsi" w:hAnsiTheme="minorHAnsi" w:cstheme="minorHAnsi"/>
          <w:sz w:val="22"/>
        </w:rPr>
        <w:t>:</w:t>
      </w:r>
    </w:p>
    <w:p w14:paraId="78705D8A" w14:textId="7732DEBC" w:rsidR="003E55D5" w:rsidRPr="002C186F" w:rsidRDefault="003E55D5" w:rsidP="003E55D5">
      <w:pPr>
        <w:numPr>
          <w:ilvl w:val="0"/>
          <w:numId w:val="3"/>
        </w:numPr>
        <w:rPr>
          <w:rFonts w:asciiTheme="minorHAnsi" w:hAnsiTheme="minorHAnsi" w:cstheme="minorHAnsi"/>
          <w:sz w:val="22"/>
        </w:rPr>
      </w:pPr>
      <w:r w:rsidRPr="002C186F">
        <w:rPr>
          <w:rFonts w:asciiTheme="minorHAnsi" w:hAnsiTheme="minorHAnsi" w:cstheme="minorHAnsi"/>
          <w:sz w:val="22"/>
        </w:rPr>
        <w:t>If individual</w:t>
      </w:r>
      <w:r w:rsidR="004D6E12" w:rsidRPr="002C186F">
        <w:rPr>
          <w:rFonts w:asciiTheme="minorHAnsi" w:hAnsiTheme="minorHAnsi" w:cstheme="minorHAnsi"/>
          <w:sz w:val="22"/>
        </w:rPr>
        <w:t>s</w:t>
      </w:r>
      <w:r w:rsidRPr="002C186F">
        <w:rPr>
          <w:rFonts w:asciiTheme="minorHAnsi" w:hAnsiTheme="minorHAnsi" w:cstheme="minorHAnsi"/>
          <w:sz w:val="22"/>
        </w:rPr>
        <w:t xml:space="preserve"> </w:t>
      </w:r>
      <w:r w:rsidR="004D6E12" w:rsidRPr="002C186F">
        <w:rPr>
          <w:rFonts w:asciiTheme="minorHAnsi" w:hAnsiTheme="minorHAnsi" w:cstheme="minorHAnsi"/>
          <w:sz w:val="22"/>
        </w:rPr>
        <w:t xml:space="preserve">are </w:t>
      </w:r>
      <w:r w:rsidRPr="002C186F">
        <w:rPr>
          <w:rFonts w:asciiTheme="minorHAnsi" w:hAnsiTheme="minorHAnsi" w:cstheme="minorHAnsi"/>
          <w:sz w:val="22"/>
        </w:rPr>
        <w:t>leaving</w:t>
      </w:r>
      <w:r w:rsidR="007E248C" w:rsidRPr="002C186F">
        <w:rPr>
          <w:rFonts w:asciiTheme="minorHAnsi" w:hAnsiTheme="minorHAnsi" w:cstheme="minorHAnsi"/>
          <w:sz w:val="22"/>
        </w:rPr>
        <w:t xml:space="preserve"> using the TSR Leavers tab</w:t>
      </w:r>
    </w:p>
    <w:p w14:paraId="09C16E0C" w14:textId="35010D8D" w:rsidR="003E55D5" w:rsidRPr="002C186F" w:rsidRDefault="003E55D5" w:rsidP="003E55D5">
      <w:pPr>
        <w:numPr>
          <w:ilvl w:val="0"/>
          <w:numId w:val="3"/>
        </w:numPr>
        <w:rPr>
          <w:rFonts w:asciiTheme="minorHAnsi" w:hAnsiTheme="minorHAnsi" w:cstheme="minorHAnsi"/>
          <w:sz w:val="22"/>
        </w:rPr>
      </w:pPr>
      <w:r w:rsidRPr="002C186F">
        <w:rPr>
          <w:rFonts w:asciiTheme="minorHAnsi" w:hAnsiTheme="minorHAnsi" w:cstheme="minorHAnsi"/>
          <w:sz w:val="22"/>
        </w:rPr>
        <w:t xml:space="preserve">Personal and employment details of new </w:t>
      </w:r>
      <w:r w:rsidR="00006F52" w:rsidRPr="002C186F">
        <w:rPr>
          <w:rFonts w:asciiTheme="minorHAnsi" w:hAnsiTheme="minorHAnsi" w:cstheme="minorHAnsi"/>
          <w:sz w:val="22"/>
        </w:rPr>
        <w:t>TSRs</w:t>
      </w:r>
      <w:r w:rsidR="00CE3179" w:rsidRPr="002C186F">
        <w:rPr>
          <w:rFonts w:asciiTheme="minorHAnsi" w:hAnsiTheme="minorHAnsi" w:cstheme="minorHAnsi"/>
          <w:sz w:val="22"/>
        </w:rPr>
        <w:t xml:space="preserve"> </w:t>
      </w:r>
      <w:r w:rsidR="00E76388" w:rsidRPr="002C186F">
        <w:rPr>
          <w:rFonts w:asciiTheme="minorHAnsi" w:hAnsiTheme="minorHAnsi" w:cstheme="minorHAnsi"/>
          <w:sz w:val="22"/>
        </w:rPr>
        <w:t xml:space="preserve">(please note that </w:t>
      </w:r>
      <w:r w:rsidR="00D671D5" w:rsidRPr="002C186F">
        <w:rPr>
          <w:rFonts w:asciiTheme="minorHAnsi" w:hAnsiTheme="minorHAnsi" w:cstheme="minorHAnsi"/>
          <w:sz w:val="22"/>
        </w:rPr>
        <w:t xml:space="preserve">only </w:t>
      </w:r>
      <w:r w:rsidR="00E76388" w:rsidRPr="002C186F">
        <w:rPr>
          <w:rFonts w:asciiTheme="minorHAnsi" w:hAnsiTheme="minorHAnsi" w:cstheme="minorHAnsi"/>
          <w:sz w:val="22"/>
        </w:rPr>
        <w:t xml:space="preserve">UK addresses </w:t>
      </w:r>
      <w:r w:rsidR="00D671D5" w:rsidRPr="002C186F">
        <w:rPr>
          <w:rFonts w:asciiTheme="minorHAnsi" w:hAnsiTheme="minorHAnsi" w:cstheme="minorHAnsi"/>
          <w:sz w:val="22"/>
        </w:rPr>
        <w:t>are accepted as staff must be in the UK to work</w:t>
      </w:r>
      <w:r w:rsidR="00E76388" w:rsidRPr="002C186F">
        <w:rPr>
          <w:rFonts w:asciiTheme="minorHAnsi" w:hAnsiTheme="minorHAnsi" w:cstheme="minorHAnsi"/>
          <w:sz w:val="22"/>
        </w:rPr>
        <w:t>)</w:t>
      </w:r>
    </w:p>
    <w:p w14:paraId="5CA78006" w14:textId="082F8FB7" w:rsidR="003E55D5" w:rsidRPr="002C186F" w:rsidRDefault="00006F52" w:rsidP="003E55D5">
      <w:pPr>
        <w:numPr>
          <w:ilvl w:val="0"/>
          <w:numId w:val="3"/>
        </w:numPr>
        <w:rPr>
          <w:rFonts w:asciiTheme="minorHAnsi" w:hAnsiTheme="minorHAnsi" w:cstheme="minorHAnsi"/>
          <w:sz w:val="22"/>
        </w:rPr>
      </w:pPr>
      <w:r w:rsidRPr="002C186F">
        <w:rPr>
          <w:rFonts w:asciiTheme="minorHAnsi" w:hAnsiTheme="minorHAnsi" w:cstheme="minorHAnsi"/>
          <w:sz w:val="22"/>
        </w:rPr>
        <w:t xml:space="preserve">Extension </w:t>
      </w:r>
      <w:r w:rsidR="003E55D5" w:rsidRPr="002C186F">
        <w:rPr>
          <w:rFonts w:asciiTheme="minorHAnsi" w:hAnsiTheme="minorHAnsi" w:cstheme="minorHAnsi"/>
          <w:sz w:val="22"/>
        </w:rPr>
        <w:t xml:space="preserve">details for returning </w:t>
      </w:r>
      <w:r w:rsidR="00C426B2" w:rsidRPr="002C186F">
        <w:rPr>
          <w:rFonts w:asciiTheme="minorHAnsi" w:hAnsiTheme="minorHAnsi" w:cstheme="minorHAnsi"/>
          <w:sz w:val="22"/>
        </w:rPr>
        <w:t>TSRs</w:t>
      </w:r>
    </w:p>
    <w:p w14:paraId="65615107" w14:textId="13CAF984" w:rsidR="003E55D5" w:rsidRPr="002C186F" w:rsidRDefault="00881AD7" w:rsidP="003E55D5">
      <w:pPr>
        <w:rPr>
          <w:rFonts w:asciiTheme="minorHAnsi" w:hAnsiTheme="minorHAnsi" w:cstheme="minorHAnsi"/>
          <w:sz w:val="22"/>
        </w:rPr>
      </w:pPr>
      <w:r w:rsidRPr="002C186F">
        <w:rPr>
          <w:rFonts w:asciiTheme="minorHAnsi" w:hAnsiTheme="minorHAnsi" w:cstheme="minorHAnsi"/>
          <w:sz w:val="22"/>
        </w:rPr>
        <w:lastRenderedPageBreak/>
        <w:t>School</w:t>
      </w:r>
      <w:r w:rsidR="002A4BA4" w:rsidRPr="002C186F">
        <w:rPr>
          <w:rFonts w:asciiTheme="minorHAnsi" w:hAnsiTheme="minorHAnsi" w:cstheme="minorHAnsi"/>
          <w:sz w:val="22"/>
        </w:rPr>
        <w:t xml:space="preserve"> </w:t>
      </w:r>
      <w:r w:rsidRPr="002C186F">
        <w:rPr>
          <w:rFonts w:asciiTheme="minorHAnsi" w:hAnsiTheme="minorHAnsi" w:cstheme="minorHAnsi"/>
          <w:sz w:val="22"/>
        </w:rPr>
        <w:t>/</w:t>
      </w:r>
      <w:r w:rsidR="002A4BA4" w:rsidRPr="002C186F">
        <w:rPr>
          <w:rFonts w:asciiTheme="minorHAnsi" w:hAnsiTheme="minorHAnsi" w:cstheme="minorHAnsi"/>
          <w:sz w:val="22"/>
        </w:rPr>
        <w:t xml:space="preserve"> </w:t>
      </w:r>
      <w:r w:rsidRPr="002C186F">
        <w:rPr>
          <w:rFonts w:asciiTheme="minorHAnsi" w:hAnsiTheme="minorHAnsi" w:cstheme="minorHAnsi"/>
          <w:sz w:val="22"/>
        </w:rPr>
        <w:t>Section Managers</w:t>
      </w:r>
      <w:r w:rsidR="002A4BA4" w:rsidRPr="002C186F">
        <w:rPr>
          <w:rFonts w:asciiTheme="minorHAnsi" w:hAnsiTheme="minorHAnsi" w:cstheme="minorHAnsi"/>
          <w:sz w:val="22"/>
        </w:rPr>
        <w:t xml:space="preserve"> </w:t>
      </w:r>
      <w:r w:rsidRPr="002C186F">
        <w:rPr>
          <w:rFonts w:asciiTheme="minorHAnsi" w:hAnsiTheme="minorHAnsi" w:cstheme="minorHAnsi"/>
          <w:sz w:val="22"/>
        </w:rPr>
        <w:t>/</w:t>
      </w:r>
      <w:r w:rsidR="002A4BA4" w:rsidRPr="002C186F">
        <w:rPr>
          <w:rFonts w:asciiTheme="minorHAnsi" w:hAnsiTheme="minorHAnsi" w:cstheme="minorHAnsi"/>
          <w:sz w:val="22"/>
        </w:rPr>
        <w:t xml:space="preserve"> </w:t>
      </w:r>
      <w:r w:rsidRPr="002C186F">
        <w:rPr>
          <w:rFonts w:asciiTheme="minorHAnsi" w:hAnsiTheme="minorHAnsi" w:cstheme="minorHAnsi"/>
          <w:sz w:val="22"/>
        </w:rPr>
        <w:t xml:space="preserve">TSR Coordinators are encouraged to check they have provided </w:t>
      </w:r>
      <w:r w:rsidR="00AF28BF" w:rsidRPr="002C186F">
        <w:rPr>
          <w:rFonts w:asciiTheme="minorHAnsi" w:hAnsiTheme="minorHAnsi" w:cstheme="minorHAnsi"/>
          <w:sz w:val="22"/>
        </w:rPr>
        <w:t>all relevant information as</w:t>
      </w:r>
      <w:r w:rsidRPr="002C186F">
        <w:rPr>
          <w:rFonts w:asciiTheme="minorHAnsi" w:hAnsiTheme="minorHAnsi" w:cstheme="minorHAnsi"/>
          <w:sz w:val="22"/>
        </w:rPr>
        <w:t xml:space="preserve"> the TSR Processing Team cannot accept incomplete TSR Toolkits and </w:t>
      </w:r>
      <w:r w:rsidR="00AF28BF" w:rsidRPr="002C186F">
        <w:rPr>
          <w:rFonts w:asciiTheme="minorHAnsi" w:hAnsiTheme="minorHAnsi" w:cstheme="minorHAnsi"/>
          <w:sz w:val="22"/>
        </w:rPr>
        <w:t>any missing data will delay the approval process.</w:t>
      </w:r>
    </w:p>
    <w:p w14:paraId="6B1F7F26" w14:textId="2BD39D60" w:rsidR="003E55D5" w:rsidRPr="009212E8" w:rsidRDefault="003E55D5" w:rsidP="003E55D5">
      <w:pPr>
        <w:rPr>
          <w:rFonts w:asciiTheme="minorHAnsi" w:hAnsiTheme="minorHAnsi" w:cstheme="minorHAnsi"/>
          <w:b/>
          <w:bCs/>
          <w:iCs/>
          <w:sz w:val="22"/>
        </w:rPr>
      </w:pPr>
      <w:r w:rsidRPr="009212E8">
        <w:rPr>
          <w:rFonts w:asciiTheme="minorHAnsi" w:hAnsiTheme="minorHAnsi" w:cstheme="minorHAnsi"/>
          <w:b/>
          <w:bCs/>
          <w:iCs/>
          <w:sz w:val="22"/>
        </w:rPr>
        <w:t xml:space="preserve">Guidance on completing the ‘New Contract </w:t>
      </w:r>
      <w:r w:rsidRPr="002C186F">
        <w:rPr>
          <w:rFonts w:asciiTheme="minorHAnsi" w:hAnsiTheme="minorHAnsi" w:cstheme="minorHAnsi"/>
          <w:b/>
          <w:bCs/>
          <w:iCs/>
          <w:sz w:val="22"/>
        </w:rPr>
        <w:t>Details’</w:t>
      </w:r>
      <w:r w:rsidR="00BD3FEA" w:rsidRPr="002C186F">
        <w:rPr>
          <w:rFonts w:asciiTheme="minorHAnsi" w:hAnsiTheme="minorHAnsi" w:cstheme="minorHAnsi"/>
          <w:b/>
          <w:bCs/>
          <w:iCs/>
          <w:sz w:val="22"/>
        </w:rPr>
        <w:t xml:space="preserve"> and ‘Extension Details’</w:t>
      </w:r>
      <w:r w:rsidRPr="002C186F">
        <w:rPr>
          <w:rFonts w:asciiTheme="minorHAnsi" w:hAnsiTheme="minorHAnsi" w:cstheme="minorHAnsi"/>
          <w:b/>
          <w:bCs/>
          <w:iCs/>
          <w:sz w:val="22"/>
        </w:rPr>
        <w:t xml:space="preserve"> </w:t>
      </w:r>
      <w:r w:rsidRPr="009212E8">
        <w:rPr>
          <w:rFonts w:asciiTheme="minorHAnsi" w:hAnsiTheme="minorHAnsi" w:cstheme="minorHAnsi"/>
          <w:b/>
          <w:bCs/>
          <w:iCs/>
          <w:sz w:val="22"/>
        </w:rPr>
        <w:t>section</w:t>
      </w:r>
      <w:r w:rsidR="00BD3FEA">
        <w:rPr>
          <w:rFonts w:asciiTheme="minorHAnsi" w:hAnsiTheme="minorHAnsi" w:cstheme="minorHAnsi"/>
          <w:b/>
          <w:bCs/>
          <w:iCs/>
          <w:sz w:val="22"/>
        </w:rPr>
        <w:t>s</w:t>
      </w:r>
      <w:r w:rsidRPr="009212E8">
        <w:rPr>
          <w:rFonts w:asciiTheme="minorHAnsi" w:hAnsiTheme="minorHAnsi" w:cstheme="minorHAnsi"/>
          <w:b/>
          <w:bCs/>
          <w:iCs/>
          <w:sz w:val="22"/>
        </w:rPr>
        <w:t>:</w:t>
      </w:r>
    </w:p>
    <w:p w14:paraId="325DBF82" w14:textId="6CD2F42C" w:rsidR="003E55D5" w:rsidRPr="009212E8" w:rsidRDefault="003E55D5" w:rsidP="003E55D5">
      <w:pPr>
        <w:numPr>
          <w:ilvl w:val="0"/>
          <w:numId w:val="4"/>
        </w:numPr>
        <w:rPr>
          <w:rFonts w:asciiTheme="minorHAnsi" w:hAnsiTheme="minorHAnsi" w:cstheme="minorHAnsi"/>
          <w:sz w:val="22"/>
        </w:rPr>
      </w:pPr>
      <w:r w:rsidRPr="009212E8">
        <w:rPr>
          <w:rFonts w:asciiTheme="minorHAnsi" w:hAnsiTheme="minorHAnsi" w:cstheme="minorHAnsi"/>
          <w:sz w:val="22"/>
        </w:rPr>
        <w:t xml:space="preserve">Contract Start Date / Contract End Date – these dates should reflect the dates between which the individual is actually engaged to work (not the full academic year if they are not engaged in TSR work for the full year). The individual will have access to </w:t>
      </w:r>
      <w:proofErr w:type="spellStart"/>
      <w:r w:rsidRPr="009212E8">
        <w:rPr>
          <w:rFonts w:asciiTheme="minorHAnsi" w:hAnsiTheme="minorHAnsi" w:cstheme="minorHAnsi"/>
          <w:sz w:val="22"/>
        </w:rPr>
        <w:t>UoB</w:t>
      </w:r>
      <w:proofErr w:type="spellEnd"/>
      <w:r w:rsidRPr="009212E8">
        <w:rPr>
          <w:rFonts w:asciiTheme="minorHAnsi" w:hAnsiTheme="minorHAnsi" w:cstheme="minorHAnsi"/>
          <w:sz w:val="22"/>
        </w:rPr>
        <w:t xml:space="preserve"> facilities during this period.</w:t>
      </w:r>
      <w:r w:rsidR="00CE3179" w:rsidRPr="009212E8">
        <w:rPr>
          <w:rFonts w:asciiTheme="minorHAnsi" w:hAnsiTheme="minorHAnsi" w:cstheme="minorHAnsi"/>
          <w:sz w:val="22"/>
        </w:rPr>
        <w:t xml:space="preserve"> The contract dates should include dates for any mandatory training attendance if undertaken in advance of teaching delivery.</w:t>
      </w:r>
    </w:p>
    <w:p w14:paraId="51889B98" w14:textId="0C9AC612" w:rsidR="003E55D5" w:rsidRPr="002C186F" w:rsidRDefault="003E55D5" w:rsidP="003E55D5">
      <w:pPr>
        <w:numPr>
          <w:ilvl w:val="0"/>
          <w:numId w:val="4"/>
        </w:numPr>
        <w:rPr>
          <w:rFonts w:asciiTheme="minorHAnsi" w:hAnsiTheme="minorHAnsi" w:cstheme="minorHAnsi"/>
          <w:sz w:val="22"/>
        </w:rPr>
      </w:pPr>
      <w:r w:rsidRPr="002C186F">
        <w:rPr>
          <w:rFonts w:asciiTheme="minorHAnsi" w:hAnsiTheme="minorHAnsi" w:cstheme="minorHAnsi"/>
          <w:sz w:val="22"/>
        </w:rPr>
        <w:t xml:space="preserve">The breakdown of hours will </w:t>
      </w:r>
      <w:r w:rsidR="00BD3FEA" w:rsidRPr="002C186F">
        <w:rPr>
          <w:rFonts w:asciiTheme="minorHAnsi" w:hAnsiTheme="minorHAnsi" w:cstheme="minorHAnsi"/>
          <w:sz w:val="22"/>
        </w:rPr>
        <w:t xml:space="preserve">need to be inputted against each category and will be </w:t>
      </w:r>
      <w:r w:rsidRPr="002C186F">
        <w:rPr>
          <w:rFonts w:asciiTheme="minorHAnsi" w:hAnsiTheme="minorHAnsi" w:cstheme="minorHAnsi"/>
          <w:sz w:val="22"/>
        </w:rPr>
        <w:t xml:space="preserve">displayed </w:t>
      </w:r>
      <w:r w:rsidR="00BD3FEA" w:rsidRPr="002C186F">
        <w:rPr>
          <w:rFonts w:asciiTheme="minorHAnsi" w:hAnsiTheme="minorHAnsi" w:cstheme="minorHAnsi"/>
          <w:sz w:val="22"/>
        </w:rPr>
        <w:t xml:space="preserve">as such </w:t>
      </w:r>
      <w:r w:rsidRPr="002C186F">
        <w:rPr>
          <w:rFonts w:asciiTheme="minorHAnsi" w:hAnsiTheme="minorHAnsi" w:cstheme="minorHAnsi"/>
          <w:sz w:val="22"/>
        </w:rPr>
        <w:t xml:space="preserve">in the contract and some reports, but does not link to pay claims, i.e. hours are claimed as total hours, not against </w:t>
      </w:r>
      <w:r w:rsidR="00715D98" w:rsidRPr="002C186F">
        <w:rPr>
          <w:rFonts w:asciiTheme="minorHAnsi" w:hAnsiTheme="minorHAnsi" w:cstheme="minorHAnsi"/>
          <w:sz w:val="22"/>
        </w:rPr>
        <w:t xml:space="preserve">the category type </w:t>
      </w:r>
      <w:r w:rsidRPr="002C186F">
        <w:rPr>
          <w:rFonts w:asciiTheme="minorHAnsi" w:hAnsiTheme="minorHAnsi" w:cstheme="minorHAnsi"/>
          <w:sz w:val="22"/>
        </w:rPr>
        <w:t>“teaching delivery”, “assessment”, etc.</w:t>
      </w:r>
    </w:p>
    <w:p w14:paraId="00C5E6FF" w14:textId="5ADCDA81" w:rsidR="003E55D5" w:rsidRPr="002C186F" w:rsidRDefault="003E55D5" w:rsidP="003E55D5">
      <w:pPr>
        <w:numPr>
          <w:ilvl w:val="0"/>
          <w:numId w:val="4"/>
        </w:numPr>
        <w:rPr>
          <w:rFonts w:asciiTheme="minorHAnsi" w:hAnsiTheme="minorHAnsi" w:cstheme="minorHAnsi"/>
          <w:sz w:val="22"/>
        </w:rPr>
      </w:pPr>
      <w:r w:rsidRPr="002C186F">
        <w:rPr>
          <w:rFonts w:asciiTheme="minorHAnsi" w:hAnsiTheme="minorHAnsi" w:cstheme="minorHAnsi"/>
          <w:sz w:val="22"/>
        </w:rPr>
        <w:t xml:space="preserve">Total </w:t>
      </w:r>
      <w:r w:rsidR="00587824" w:rsidRPr="002C186F">
        <w:rPr>
          <w:rFonts w:asciiTheme="minorHAnsi" w:hAnsiTheme="minorHAnsi" w:cstheme="minorHAnsi"/>
          <w:sz w:val="22"/>
        </w:rPr>
        <w:t>h</w:t>
      </w:r>
      <w:r w:rsidRPr="002C186F">
        <w:rPr>
          <w:rFonts w:asciiTheme="minorHAnsi" w:hAnsiTheme="minorHAnsi" w:cstheme="minorHAnsi"/>
          <w:sz w:val="22"/>
        </w:rPr>
        <w:t xml:space="preserve">ours should calculate automatically in the </w:t>
      </w:r>
      <w:r w:rsidR="00A84BBE" w:rsidRPr="002C186F">
        <w:rPr>
          <w:rFonts w:asciiTheme="minorHAnsi" w:hAnsiTheme="minorHAnsi" w:cstheme="minorHAnsi"/>
          <w:sz w:val="22"/>
        </w:rPr>
        <w:t xml:space="preserve">TSR Toolkit </w:t>
      </w:r>
      <w:r w:rsidRPr="002C186F">
        <w:rPr>
          <w:rFonts w:asciiTheme="minorHAnsi" w:hAnsiTheme="minorHAnsi" w:cstheme="minorHAnsi"/>
          <w:sz w:val="22"/>
        </w:rPr>
        <w:t>based on the hours entered in the previous columns.</w:t>
      </w:r>
    </w:p>
    <w:p w14:paraId="433B70C5" w14:textId="4B04FD06" w:rsidR="003E55D5" w:rsidRPr="009212E8" w:rsidRDefault="003E55D5" w:rsidP="003E55D5">
      <w:pPr>
        <w:numPr>
          <w:ilvl w:val="0"/>
          <w:numId w:val="4"/>
        </w:numPr>
        <w:rPr>
          <w:rFonts w:asciiTheme="minorHAnsi" w:hAnsiTheme="minorHAnsi" w:cstheme="minorHAnsi"/>
          <w:sz w:val="22"/>
        </w:rPr>
      </w:pPr>
      <w:r w:rsidRPr="009212E8">
        <w:rPr>
          <w:rFonts w:asciiTheme="minorHAnsi" w:hAnsiTheme="minorHAnsi" w:cstheme="minorHAnsi"/>
          <w:sz w:val="22"/>
        </w:rPr>
        <w:t>If DBS or Health Screening is required, the School</w:t>
      </w:r>
      <w:r w:rsidR="002C186F">
        <w:rPr>
          <w:rFonts w:asciiTheme="minorHAnsi" w:hAnsiTheme="minorHAnsi" w:cstheme="minorHAnsi"/>
          <w:sz w:val="22"/>
        </w:rPr>
        <w:t xml:space="preserve"> </w:t>
      </w:r>
      <w:r w:rsidRPr="009212E8">
        <w:rPr>
          <w:rFonts w:asciiTheme="minorHAnsi" w:hAnsiTheme="minorHAnsi" w:cstheme="minorHAnsi"/>
          <w:sz w:val="22"/>
        </w:rPr>
        <w:t>/</w:t>
      </w:r>
      <w:r w:rsidR="002C186F">
        <w:rPr>
          <w:rFonts w:asciiTheme="minorHAnsi" w:hAnsiTheme="minorHAnsi" w:cstheme="minorHAnsi"/>
          <w:sz w:val="22"/>
        </w:rPr>
        <w:t xml:space="preserve"> </w:t>
      </w:r>
      <w:r w:rsidRPr="009212E8">
        <w:rPr>
          <w:rFonts w:asciiTheme="minorHAnsi" w:hAnsiTheme="minorHAnsi" w:cstheme="minorHAnsi"/>
          <w:sz w:val="22"/>
        </w:rPr>
        <w:t xml:space="preserve">Section Manager or TSR Coordinator should follow up with the </w:t>
      </w:r>
      <w:r w:rsidR="002A30BC" w:rsidRPr="009212E8">
        <w:rPr>
          <w:rFonts w:asciiTheme="minorHAnsi" w:hAnsiTheme="minorHAnsi" w:cstheme="minorHAnsi"/>
          <w:sz w:val="22"/>
        </w:rPr>
        <w:t>TSR Processing Team</w:t>
      </w:r>
      <w:r w:rsidRPr="009212E8">
        <w:rPr>
          <w:rFonts w:asciiTheme="minorHAnsi" w:hAnsiTheme="minorHAnsi" w:cstheme="minorHAnsi"/>
          <w:sz w:val="22"/>
        </w:rPr>
        <w:t xml:space="preserve"> for the relevant processes to be instigated.</w:t>
      </w:r>
      <w:r w:rsidR="005726AB" w:rsidRPr="009212E8">
        <w:rPr>
          <w:rFonts w:asciiTheme="minorHAnsi" w:hAnsiTheme="minorHAnsi" w:cstheme="minorHAnsi"/>
          <w:sz w:val="22"/>
        </w:rPr>
        <w:t xml:space="preserve"> Please note DBS checks may take up to 4 weeks to complete, it is important that no work is undertaken by the individual until DBS confirmation is received.</w:t>
      </w:r>
    </w:p>
    <w:p w14:paraId="5A620EE1" w14:textId="6B295D49" w:rsidR="003E55D5" w:rsidRPr="009212E8" w:rsidRDefault="003E55D5" w:rsidP="003E55D5">
      <w:pPr>
        <w:numPr>
          <w:ilvl w:val="0"/>
          <w:numId w:val="4"/>
        </w:numPr>
        <w:rPr>
          <w:rFonts w:asciiTheme="minorHAnsi" w:hAnsiTheme="minorHAnsi" w:cstheme="minorHAnsi"/>
          <w:sz w:val="22"/>
        </w:rPr>
      </w:pPr>
      <w:r w:rsidRPr="009212E8">
        <w:rPr>
          <w:rFonts w:asciiTheme="minorHAnsi" w:hAnsiTheme="minorHAnsi" w:cstheme="minorHAnsi"/>
          <w:sz w:val="22"/>
        </w:rPr>
        <w:t xml:space="preserve">Where an individual is not being re-engaged, it is important that this is notified to </w:t>
      </w:r>
      <w:r w:rsidR="007159AF" w:rsidRPr="009212E8">
        <w:rPr>
          <w:rFonts w:asciiTheme="minorHAnsi" w:hAnsiTheme="minorHAnsi" w:cstheme="minorHAnsi"/>
          <w:sz w:val="22"/>
        </w:rPr>
        <w:t>the TS</w:t>
      </w:r>
      <w:r w:rsidRPr="009212E8">
        <w:rPr>
          <w:rFonts w:asciiTheme="minorHAnsi" w:hAnsiTheme="minorHAnsi" w:cstheme="minorHAnsi"/>
          <w:sz w:val="22"/>
        </w:rPr>
        <w:t xml:space="preserve">R </w:t>
      </w:r>
      <w:r w:rsidR="007159AF" w:rsidRPr="009212E8">
        <w:rPr>
          <w:rFonts w:asciiTheme="minorHAnsi" w:hAnsiTheme="minorHAnsi" w:cstheme="minorHAnsi"/>
          <w:sz w:val="22"/>
        </w:rPr>
        <w:t xml:space="preserve">Processing Team </w:t>
      </w:r>
      <w:r w:rsidRPr="009212E8">
        <w:rPr>
          <w:rFonts w:asciiTheme="minorHAnsi" w:hAnsiTheme="minorHAnsi" w:cstheme="minorHAnsi"/>
          <w:sz w:val="22"/>
        </w:rPr>
        <w:t>with the actual leaving date so that the individual can be processed as a leaver and their P45 issued.</w:t>
      </w:r>
    </w:p>
    <w:p w14:paraId="7EE1C6D2" w14:textId="6E1BBD14" w:rsidR="003E55D5" w:rsidRPr="00436021" w:rsidRDefault="003E55D5" w:rsidP="003E55D5">
      <w:pPr>
        <w:rPr>
          <w:rFonts w:asciiTheme="minorHAnsi" w:hAnsiTheme="minorHAnsi" w:cstheme="minorHAnsi"/>
          <w:sz w:val="22"/>
        </w:rPr>
      </w:pPr>
      <w:r w:rsidRPr="00436021">
        <w:rPr>
          <w:rFonts w:asciiTheme="minorHAnsi" w:hAnsiTheme="minorHAnsi" w:cstheme="minorHAnsi"/>
          <w:sz w:val="22"/>
        </w:rPr>
        <w:t xml:space="preserve">In addition to the standard information required for the contract, information about which teaching blocks are to be worked during the contract is also requested. </w:t>
      </w:r>
      <w:r w:rsidR="00246FD4">
        <w:rPr>
          <w:rFonts w:asciiTheme="minorHAnsi" w:hAnsiTheme="minorHAnsi" w:cstheme="minorHAnsi"/>
          <w:sz w:val="22"/>
        </w:rPr>
        <w:t>T</w:t>
      </w:r>
      <w:r w:rsidRPr="00436021">
        <w:rPr>
          <w:rFonts w:asciiTheme="minorHAnsi" w:hAnsiTheme="minorHAnsi" w:cstheme="minorHAnsi"/>
          <w:sz w:val="22"/>
        </w:rPr>
        <w:t>his information is helpful to ensure that the contract start and end dates are appropriate, and for determining continuous service dates.</w:t>
      </w:r>
    </w:p>
    <w:p w14:paraId="36955482" w14:textId="505099CC" w:rsidR="003E55D5" w:rsidRPr="00587824" w:rsidRDefault="00667F59" w:rsidP="003E55D5">
      <w:pPr>
        <w:rPr>
          <w:rFonts w:asciiTheme="minorHAnsi" w:hAnsiTheme="minorHAnsi" w:cstheme="minorHAnsi"/>
          <w:sz w:val="22"/>
        </w:rPr>
      </w:pPr>
      <w:r w:rsidRPr="00587824">
        <w:rPr>
          <w:rFonts w:asciiTheme="minorHAnsi" w:hAnsiTheme="minorHAnsi" w:cstheme="minorHAnsi"/>
          <w:sz w:val="22"/>
        </w:rPr>
        <w:t xml:space="preserve">It is imperative that </w:t>
      </w:r>
      <w:r w:rsidR="009212E8" w:rsidRPr="00587824">
        <w:rPr>
          <w:rFonts w:asciiTheme="minorHAnsi" w:hAnsiTheme="minorHAnsi" w:cstheme="minorHAnsi"/>
          <w:sz w:val="22"/>
        </w:rPr>
        <w:t>t</w:t>
      </w:r>
      <w:r w:rsidR="009212E8" w:rsidRPr="002C186F">
        <w:rPr>
          <w:rFonts w:asciiTheme="minorHAnsi" w:hAnsiTheme="minorHAnsi" w:cstheme="minorHAnsi"/>
          <w:sz w:val="22"/>
        </w:rPr>
        <w:t xml:space="preserve">he </w:t>
      </w:r>
      <w:r w:rsidR="00B120CC" w:rsidRPr="002C186F">
        <w:rPr>
          <w:rFonts w:asciiTheme="minorHAnsi" w:hAnsiTheme="minorHAnsi" w:cstheme="minorHAnsi"/>
          <w:sz w:val="22"/>
        </w:rPr>
        <w:t xml:space="preserve">TSR Toolkit </w:t>
      </w:r>
      <w:r w:rsidRPr="002C186F">
        <w:rPr>
          <w:rFonts w:asciiTheme="minorHAnsi" w:hAnsiTheme="minorHAnsi" w:cstheme="minorHAnsi"/>
          <w:sz w:val="22"/>
        </w:rPr>
        <w:t xml:space="preserve">is </w:t>
      </w:r>
      <w:r w:rsidRPr="00587824">
        <w:rPr>
          <w:rFonts w:asciiTheme="minorHAnsi" w:hAnsiTheme="minorHAnsi" w:cstheme="minorHAnsi"/>
          <w:sz w:val="22"/>
        </w:rPr>
        <w:t>fully completed to mitigate any delays in processing contracts.</w:t>
      </w:r>
    </w:p>
    <w:p w14:paraId="09CEA5EB" w14:textId="77777777" w:rsidR="003E55D5" w:rsidRDefault="003E55D5" w:rsidP="00270B01">
      <w:pPr>
        <w:pStyle w:val="Heading3"/>
      </w:pPr>
      <w:bookmarkStart w:id="10" w:name="_Toc177982922"/>
      <w:r>
        <w:t>Issuing Contracts &amp; Setting up on MyERP</w:t>
      </w:r>
      <w:bookmarkEnd w:id="10"/>
    </w:p>
    <w:p w14:paraId="57BFE549" w14:textId="678C5924" w:rsidR="003E55D5" w:rsidRDefault="3683FC86" w:rsidP="78DE4EE1">
      <w:pPr>
        <w:rPr>
          <w:rFonts w:asciiTheme="minorHAnsi" w:hAnsiTheme="minorHAnsi"/>
          <w:sz w:val="22"/>
        </w:rPr>
      </w:pPr>
      <w:r w:rsidRPr="78DE4EE1">
        <w:rPr>
          <w:rFonts w:asciiTheme="minorHAnsi" w:hAnsiTheme="minorHAnsi"/>
          <w:sz w:val="22"/>
        </w:rPr>
        <w:t xml:space="preserve">Based on the information provided by the School in the </w:t>
      </w:r>
      <w:r w:rsidR="13E5FD3B" w:rsidRPr="00190B8A">
        <w:rPr>
          <w:rFonts w:asciiTheme="minorHAnsi" w:hAnsiTheme="minorHAnsi"/>
          <w:sz w:val="22"/>
        </w:rPr>
        <w:t>TSR Toolkit</w:t>
      </w:r>
      <w:r w:rsidRPr="78DE4EE1">
        <w:rPr>
          <w:rFonts w:asciiTheme="minorHAnsi" w:hAnsiTheme="minorHAnsi"/>
          <w:sz w:val="22"/>
        </w:rPr>
        <w:t xml:space="preserve">, the </w:t>
      </w:r>
      <w:r w:rsidR="6D3D2544" w:rsidRPr="78DE4EE1">
        <w:rPr>
          <w:rFonts w:asciiTheme="minorHAnsi" w:hAnsiTheme="minorHAnsi"/>
          <w:sz w:val="22"/>
        </w:rPr>
        <w:t>TSR Processing Team</w:t>
      </w:r>
      <w:r w:rsidRPr="78DE4EE1">
        <w:rPr>
          <w:rFonts w:asciiTheme="minorHAnsi" w:hAnsiTheme="minorHAnsi"/>
          <w:sz w:val="22"/>
        </w:rPr>
        <w:t xml:space="preserve"> will generate contracts </w:t>
      </w:r>
      <w:r w:rsidR="1C239422" w:rsidRPr="78DE4EE1">
        <w:rPr>
          <w:rFonts w:asciiTheme="minorHAnsi" w:hAnsiTheme="minorHAnsi"/>
          <w:sz w:val="22"/>
        </w:rPr>
        <w:t xml:space="preserve">using data from </w:t>
      </w:r>
      <w:r w:rsidRPr="78DE4EE1">
        <w:rPr>
          <w:rFonts w:asciiTheme="minorHAnsi" w:hAnsiTheme="minorHAnsi"/>
          <w:sz w:val="22"/>
        </w:rPr>
        <w:t xml:space="preserve">MyERP and arrange for these to be signed by the individual. </w:t>
      </w:r>
      <w:r w:rsidR="3936B153" w:rsidRPr="78DE4EE1">
        <w:rPr>
          <w:rFonts w:asciiTheme="minorHAnsi" w:hAnsiTheme="minorHAnsi"/>
          <w:sz w:val="22"/>
        </w:rPr>
        <w:t>This process will be managed using Docu</w:t>
      </w:r>
      <w:r w:rsidR="13E5FD3B" w:rsidRPr="78DE4EE1">
        <w:rPr>
          <w:rFonts w:asciiTheme="minorHAnsi" w:hAnsiTheme="minorHAnsi"/>
          <w:sz w:val="22"/>
        </w:rPr>
        <w:t>S</w:t>
      </w:r>
      <w:r w:rsidR="3936B153" w:rsidRPr="78DE4EE1">
        <w:rPr>
          <w:rFonts w:asciiTheme="minorHAnsi" w:hAnsiTheme="minorHAnsi"/>
          <w:sz w:val="22"/>
        </w:rPr>
        <w:t>ig</w:t>
      </w:r>
      <w:r w:rsidR="7852C354" w:rsidRPr="78DE4EE1">
        <w:rPr>
          <w:rFonts w:asciiTheme="minorHAnsi" w:hAnsiTheme="minorHAnsi"/>
          <w:sz w:val="22"/>
        </w:rPr>
        <w:t xml:space="preserve">n. DocuSign is the fast, reliable way to electronically sign documents and agreements on practically any device. </w:t>
      </w:r>
      <w:r w:rsidR="5EF794B4" w:rsidRPr="78DE4EE1">
        <w:rPr>
          <w:rFonts w:asciiTheme="minorHAnsi" w:hAnsiTheme="minorHAnsi"/>
          <w:sz w:val="22"/>
        </w:rPr>
        <w:t xml:space="preserve">This </w:t>
      </w:r>
      <w:hyperlink r:id="rId18">
        <w:r w:rsidR="5EF794B4" w:rsidRPr="78DE4EE1">
          <w:rPr>
            <w:rStyle w:val="Hyperlink"/>
            <w:rFonts w:asciiTheme="minorHAnsi" w:hAnsiTheme="minorHAnsi"/>
            <w:sz w:val="22"/>
          </w:rPr>
          <w:t>video</w:t>
        </w:r>
      </w:hyperlink>
      <w:r w:rsidR="5EF794B4" w:rsidRPr="78DE4EE1">
        <w:rPr>
          <w:rFonts w:asciiTheme="minorHAnsi" w:hAnsiTheme="minorHAnsi"/>
          <w:sz w:val="22"/>
        </w:rPr>
        <w:t xml:space="preserve"> explains how to sign </w:t>
      </w:r>
      <w:r w:rsidR="4A3678ED" w:rsidRPr="78DE4EE1">
        <w:rPr>
          <w:rFonts w:asciiTheme="minorHAnsi" w:hAnsiTheme="minorHAnsi"/>
          <w:sz w:val="22"/>
        </w:rPr>
        <w:t>the</w:t>
      </w:r>
      <w:r w:rsidR="5EF794B4" w:rsidRPr="78DE4EE1">
        <w:rPr>
          <w:rFonts w:asciiTheme="minorHAnsi" w:hAnsiTheme="minorHAnsi"/>
          <w:sz w:val="22"/>
        </w:rPr>
        <w:t xml:space="preserve"> contract through an email link sent via DocuSign.</w:t>
      </w:r>
      <w:r w:rsidR="4A3678ED" w:rsidRPr="78DE4EE1">
        <w:rPr>
          <w:rFonts w:asciiTheme="minorHAnsi" w:hAnsiTheme="minorHAnsi"/>
          <w:sz w:val="22"/>
        </w:rPr>
        <w:t xml:space="preserve"> </w:t>
      </w:r>
      <w:r w:rsidR="7852C354" w:rsidRPr="78DE4EE1">
        <w:rPr>
          <w:rFonts w:asciiTheme="minorHAnsi" w:hAnsiTheme="minorHAnsi"/>
          <w:sz w:val="22"/>
        </w:rPr>
        <w:t>Right</w:t>
      </w:r>
      <w:r w:rsidRPr="78DE4EE1">
        <w:rPr>
          <w:rFonts w:asciiTheme="minorHAnsi" w:hAnsiTheme="minorHAnsi"/>
          <w:sz w:val="22"/>
        </w:rPr>
        <w:t xml:space="preserve"> to Work checks are carried out for new Teaching Support Staff by the </w:t>
      </w:r>
      <w:r w:rsidR="6D3D2544" w:rsidRPr="78DE4EE1">
        <w:rPr>
          <w:rFonts w:asciiTheme="minorHAnsi" w:hAnsiTheme="minorHAnsi"/>
          <w:sz w:val="22"/>
        </w:rPr>
        <w:t>TSR Processing Team</w:t>
      </w:r>
      <w:r w:rsidRPr="78DE4EE1">
        <w:rPr>
          <w:rFonts w:asciiTheme="minorHAnsi" w:hAnsiTheme="minorHAnsi"/>
          <w:sz w:val="22"/>
        </w:rPr>
        <w:t xml:space="preserve"> as part of this process</w:t>
      </w:r>
      <w:r w:rsidR="651C638B" w:rsidRPr="78DE4EE1">
        <w:rPr>
          <w:rFonts w:asciiTheme="minorHAnsi" w:hAnsiTheme="minorHAnsi"/>
          <w:sz w:val="22"/>
        </w:rPr>
        <w:t xml:space="preserve">. </w:t>
      </w:r>
      <w:r w:rsidR="579384A1" w:rsidRPr="00190B8A">
        <w:rPr>
          <w:rFonts w:asciiTheme="minorHAnsi" w:hAnsiTheme="minorHAnsi"/>
          <w:sz w:val="22"/>
        </w:rPr>
        <w:t xml:space="preserve">Right to work checks may be completed via the University’s partner, Verifile. </w:t>
      </w:r>
      <w:r w:rsidR="651C638B" w:rsidRPr="78DE4EE1">
        <w:rPr>
          <w:rFonts w:asciiTheme="minorHAnsi" w:hAnsiTheme="minorHAnsi"/>
          <w:sz w:val="22"/>
        </w:rPr>
        <w:t xml:space="preserve">It is essential that this process is completed in a </w:t>
      </w:r>
      <w:r w:rsidR="7852C354" w:rsidRPr="78DE4EE1">
        <w:rPr>
          <w:rFonts w:asciiTheme="minorHAnsi" w:hAnsiTheme="minorHAnsi"/>
          <w:sz w:val="22"/>
        </w:rPr>
        <w:t xml:space="preserve">timely </w:t>
      </w:r>
      <w:r w:rsidR="651C638B" w:rsidRPr="78DE4EE1">
        <w:rPr>
          <w:rFonts w:asciiTheme="minorHAnsi" w:hAnsiTheme="minorHAnsi"/>
          <w:sz w:val="22"/>
        </w:rPr>
        <w:t xml:space="preserve">way and </w:t>
      </w:r>
      <w:r w:rsidR="7852C354" w:rsidRPr="78DE4EE1">
        <w:rPr>
          <w:rFonts w:asciiTheme="minorHAnsi" w:hAnsiTheme="minorHAnsi"/>
          <w:sz w:val="22"/>
        </w:rPr>
        <w:t xml:space="preserve">new Teaching Support Staff </w:t>
      </w:r>
      <w:r w:rsidR="651C638B" w:rsidRPr="78DE4EE1">
        <w:rPr>
          <w:rFonts w:asciiTheme="minorHAnsi" w:hAnsiTheme="minorHAnsi"/>
          <w:sz w:val="22"/>
        </w:rPr>
        <w:t xml:space="preserve">must be advised by Schools </w:t>
      </w:r>
      <w:r w:rsidR="7852C354" w:rsidRPr="78DE4EE1">
        <w:rPr>
          <w:rFonts w:asciiTheme="minorHAnsi" w:hAnsiTheme="minorHAnsi"/>
          <w:sz w:val="22"/>
        </w:rPr>
        <w:t>to priorit</w:t>
      </w:r>
      <w:r w:rsidR="651C638B" w:rsidRPr="78DE4EE1">
        <w:rPr>
          <w:rFonts w:asciiTheme="minorHAnsi" w:hAnsiTheme="minorHAnsi"/>
          <w:sz w:val="22"/>
        </w:rPr>
        <w:t>i</w:t>
      </w:r>
      <w:r w:rsidR="7852C354" w:rsidRPr="78DE4EE1">
        <w:rPr>
          <w:rFonts w:asciiTheme="minorHAnsi" w:hAnsiTheme="minorHAnsi"/>
          <w:sz w:val="22"/>
        </w:rPr>
        <w:t xml:space="preserve">se </w:t>
      </w:r>
      <w:r w:rsidR="651C638B" w:rsidRPr="78DE4EE1">
        <w:rPr>
          <w:rFonts w:asciiTheme="minorHAnsi" w:hAnsiTheme="minorHAnsi"/>
          <w:sz w:val="22"/>
        </w:rPr>
        <w:t xml:space="preserve">completion of all paperwork and </w:t>
      </w:r>
      <w:r w:rsidR="7852C354" w:rsidRPr="78DE4EE1">
        <w:rPr>
          <w:rFonts w:asciiTheme="minorHAnsi" w:hAnsiTheme="minorHAnsi"/>
          <w:sz w:val="22"/>
        </w:rPr>
        <w:t xml:space="preserve">their right to work checks with the </w:t>
      </w:r>
      <w:r w:rsidR="6D3D2544" w:rsidRPr="78DE4EE1">
        <w:rPr>
          <w:rFonts w:asciiTheme="minorHAnsi" w:hAnsiTheme="minorHAnsi"/>
          <w:sz w:val="22"/>
        </w:rPr>
        <w:t>TSR Processing Team</w:t>
      </w:r>
      <w:r w:rsidR="7852C354" w:rsidRPr="78DE4EE1">
        <w:rPr>
          <w:rFonts w:asciiTheme="minorHAnsi" w:hAnsiTheme="minorHAnsi"/>
          <w:sz w:val="22"/>
        </w:rPr>
        <w:t xml:space="preserve"> as they are unable to undertake any </w:t>
      </w:r>
      <w:r w:rsidR="334A8691" w:rsidRPr="00190B8A">
        <w:rPr>
          <w:rFonts w:asciiTheme="minorHAnsi" w:hAnsiTheme="minorHAnsi"/>
          <w:sz w:val="22"/>
        </w:rPr>
        <w:t xml:space="preserve">mandatory training or </w:t>
      </w:r>
      <w:r w:rsidR="7852C354" w:rsidRPr="78DE4EE1">
        <w:rPr>
          <w:rFonts w:asciiTheme="minorHAnsi" w:hAnsiTheme="minorHAnsi"/>
          <w:sz w:val="22"/>
        </w:rPr>
        <w:t>work activities until this has been completed.</w:t>
      </w:r>
      <w:r w:rsidR="3BE54341" w:rsidRPr="78DE4EE1">
        <w:rPr>
          <w:rFonts w:asciiTheme="minorHAnsi" w:hAnsiTheme="minorHAnsi"/>
          <w:sz w:val="22"/>
        </w:rPr>
        <w:t xml:space="preserve"> To support this process Schools are advised to review the TSR Toolkit (Tracker) to keep up to date on </w:t>
      </w:r>
      <w:r w:rsidR="4A3678ED" w:rsidRPr="78DE4EE1">
        <w:rPr>
          <w:rFonts w:asciiTheme="minorHAnsi" w:hAnsiTheme="minorHAnsi"/>
          <w:sz w:val="22"/>
        </w:rPr>
        <w:t>progress</w:t>
      </w:r>
      <w:r w:rsidR="3BE54341" w:rsidRPr="78DE4EE1">
        <w:rPr>
          <w:rFonts w:asciiTheme="minorHAnsi" w:hAnsiTheme="minorHAnsi"/>
          <w:sz w:val="22"/>
        </w:rPr>
        <w:t xml:space="preserve"> and should not engage workers </w:t>
      </w:r>
      <w:r w:rsidR="75C19DB9" w:rsidRPr="78DE4EE1">
        <w:rPr>
          <w:rFonts w:asciiTheme="minorHAnsi" w:hAnsiTheme="minorHAnsi"/>
          <w:sz w:val="22"/>
        </w:rPr>
        <w:t xml:space="preserve">until they have </w:t>
      </w:r>
      <w:r w:rsidR="4A3678ED" w:rsidRPr="78DE4EE1">
        <w:rPr>
          <w:rFonts w:asciiTheme="minorHAnsi" w:hAnsiTheme="minorHAnsi"/>
          <w:sz w:val="22"/>
        </w:rPr>
        <w:t>complete</w:t>
      </w:r>
      <w:r w:rsidR="75C19DB9" w:rsidRPr="78DE4EE1">
        <w:rPr>
          <w:rFonts w:asciiTheme="minorHAnsi" w:hAnsiTheme="minorHAnsi"/>
          <w:sz w:val="22"/>
        </w:rPr>
        <w:t>d</w:t>
      </w:r>
      <w:r w:rsidR="4A3678ED" w:rsidRPr="78DE4EE1">
        <w:rPr>
          <w:rFonts w:asciiTheme="minorHAnsi" w:hAnsiTheme="minorHAnsi"/>
          <w:sz w:val="22"/>
        </w:rPr>
        <w:t xml:space="preserve"> their RTW check and return</w:t>
      </w:r>
      <w:r w:rsidR="75C19DB9" w:rsidRPr="78DE4EE1">
        <w:rPr>
          <w:rFonts w:asciiTheme="minorHAnsi" w:hAnsiTheme="minorHAnsi"/>
          <w:sz w:val="22"/>
        </w:rPr>
        <w:t>ed</w:t>
      </w:r>
      <w:r w:rsidR="4A3678ED" w:rsidRPr="78DE4EE1">
        <w:rPr>
          <w:rFonts w:asciiTheme="minorHAnsi" w:hAnsiTheme="minorHAnsi"/>
          <w:sz w:val="22"/>
        </w:rPr>
        <w:t xml:space="preserve"> a signed contract.</w:t>
      </w:r>
    </w:p>
    <w:p w14:paraId="1AD7B220" w14:textId="0738A427" w:rsidR="005B039B" w:rsidRPr="00190B8A" w:rsidRDefault="2577F203" w:rsidP="78DE4EE1">
      <w:pPr>
        <w:rPr>
          <w:rFonts w:asciiTheme="minorHAnsi" w:hAnsiTheme="minorHAnsi"/>
          <w:sz w:val="22"/>
        </w:rPr>
      </w:pPr>
      <w:r w:rsidRPr="00190B8A">
        <w:rPr>
          <w:rFonts w:asciiTheme="minorHAnsi" w:hAnsiTheme="minorHAnsi"/>
          <w:sz w:val="22"/>
        </w:rPr>
        <w:t xml:space="preserve">Student/Tier 4 visa </w:t>
      </w:r>
      <w:r w:rsidR="06BC4910" w:rsidRPr="00190B8A">
        <w:rPr>
          <w:rFonts w:asciiTheme="minorHAnsi" w:hAnsiTheme="minorHAnsi"/>
          <w:sz w:val="22"/>
        </w:rPr>
        <w:t xml:space="preserve">holders </w:t>
      </w:r>
      <w:r w:rsidRPr="00190B8A">
        <w:rPr>
          <w:rFonts w:asciiTheme="minorHAnsi" w:hAnsiTheme="minorHAnsi"/>
          <w:sz w:val="22"/>
        </w:rPr>
        <w:t xml:space="preserve">are only allowed to work a maximum of 20 hours per week during term time. </w:t>
      </w:r>
      <w:r w:rsidR="3B9AE756" w:rsidRPr="00190B8A">
        <w:rPr>
          <w:rFonts w:asciiTheme="minorHAnsi" w:hAnsiTheme="minorHAnsi"/>
          <w:sz w:val="22"/>
        </w:rPr>
        <w:t>T</w:t>
      </w:r>
      <w:r w:rsidR="0371F4ED" w:rsidRPr="00190B8A">
        <w:rPr>
          <w:rFonts w:asciiTheme="minorHAnsi" w:hAnsiTheme="minorHAnsi"/>
          <w:sz w:val="22"/>
        </w:rPr>
        <w:t xml:space="preserve">his is a total amount and must combine any other work they are undertaking at </w:t>
      </w:r>
      <w:proofErr w:type="spellStart"/>
      <w:r w:rsidR="0371F4ED" w:rsidRPr="00190B8A">
        <w:rPr>
          <w:rFonts w:asciiTheme="minorHAnsi" w:hAnsiTheme="minorHAnsi"/>
          <w:sz w:val="22"/>
        </w:rPr>
        <w:t>UoB</w:t>
      </w:r>
      <w:proofErr w:type="spellEnd"/>
      <w:r w:rsidR="0371F4ED" w:rsidRPr="00190B8A">
        <w:rPr>
          <w:rFonts w:asciiTheme="minorHAnsi" w:hAnsiTheme="minorHAnsi"/>
          <w:sz w:val="22"/>
        </w:rPr>
        <w:t xml:space="preserve"> or </w:t>
      </w:r>
      <w:r w:rsidR="0371F4ED" w:rsidRPr="00190B8A">
        <w:rPr>
          <w:rFonts w:asciiTheme="minorHAnsi" w:hAnsiTheme="minorHAnsi"/>
          <w:sz w:val="22"/>
        </w:rPr>
        <w:lastRenderedPageBreak/>
        <w:t>externally</w:t>
      </w:r>
      <w:r w:rsidR="6C5A4368" w:rsidRPr="00190B8A">
        <w:rPr>
          <w:rFonts w:asciiTheme="minorHAnsi" w:hAnsiTheme="minorHAnsi"/>
          <w:sz w:val="22"/>
        </w:rPr>
        <w:t>, which therefore may limit the number of hours they can complete as a TSR</w:t>
      </w:r>
      <w:r w:rsidR="18EB2503" w:rsidRPr="00190B8A">
        <w:rPr>
          <w:rFonts w:asciiTheme="minorHAnsi" w:hAnsiTheme="minorHAnsi"/>
          <w:sz w:val="22"/>
        </w:rPr>
        <w:t>, it essential that Schools/Sections are aware of any other contracts held by the individual</w:t>
      </w:r>
      <w:r w:rsidR="0371F4ED" w:rsidRPr="00190B8A">
        <w:rPr>
          <w:rFonts w:asciiTheme="minorHAnsi" w:hAnsiTheme="minorHAnsi"/>
          <w:sz w:val="22"/>
        </w:rPr>
        <w:t xml:space="preserve">. </w:t>
      </w:r>
      <w:r w:rsidRPr="00190B8A">
        <w:rPr>
          <w:rFonts w:asciiTheme="minorHAnsi" w:hAnsiTheme="minorHAnsi"/>
          <w:sz w:val="22"/>
        </w:rPr>
        <w:t>Undergraduate students may work over this outside of term time (all vacation periods apply). Taught postgraduate (PGT) students may work over this during the winter and spring vacation periods only (the summer vacation period is classed as term time). Research postgraduate (PGR) students are restricted to 20 hours per week all year, unless they take formal annual leave.</w:t>
      </w:r>
    </w:p>
    <w:p w14:paraId="1C4C3C0E" w14:textId="670554C7" w:rsidR="005B039B" w:rsidRPr="00190B8A" w:rsidRDefault="005B039B" w:rsidP="005B039B">
      <w:pPr>
        <w:rPr>
          <w:rFonts w:asciiTheme="minorHAnsi" w:hAnsiTheme="minorHAnsi" w:cstheme="minorHAnsi"/>
          <w:sz w:val="22"/>
        </w:rPr>
      </w:pPr>
      <w:r w:rsidRPr="00190B8A">
        <w:rPr>
          <w:rFonts w:asciiTheme="minorHAnsi" w:hAnsiTheme="minorHAnsi" w:cstheme="minorHAnsi"/>
          <w:sz w:val="22"/>
        </w:rPr>
        <w:t>TSRs who are sponsored on a Skilled Worker visa and will be undertaking TSR work in addition to the job specified on their certificate of sponsorship (</w:t>
      </w:r>
      <w:proofErr w:type="spellStart"/>
      <w:r w:rsidRPr="00190B8A">
        <w:rPr>
          <w:rFonts w:asciiTheme="minorHAnsi" w:hAnsiTheme="minorHAnsi" w:cstheme="minorHAnsi"/>
          <w:sz w:val="22"/>
        </w:rPr>
        <w:t>CoS</w:t>
      </w:r>
      <w:proofErr w:type="spellEnd"/>
      <w:r w:rsidRPr="00190B8A">
        <w:rPr>
          <w:rFonts w:asciiTheme="minorHAnsi" w:hAnsiTheme="minorHAnsi" w:cstheme="minorHAnsi"/>
          <w:sz w:val="22"/>
        </w:rPr>
        <w:t>) must not work over 20 hours per week</w:t>
      </w:r>
      <w:r w:rsidR="0090026A" w:rsidRPr="00190B8A">
        <w:rPr>
          <w:rFonts w:asciiTheme="minorHAnsi" w:hAnsiTheme="minorHAnsi" w:cstheme="minorHAnsi"/>
          <w:sz w:val="22"/>
        </w:rPr>
        <w:t>,</w:t>
      </w:r>
      <w:r w:rsidRPr="00190B8A">
        <w:rPr>
          <w:rFonts w:asciiTheme="minorHAnsi" w:hAnsiTheme="minorHAnsi" w:cstheme="minorHAnsi"/>
          <w:sz w:val="22"/>
        </w:rPr>
        <w:t xml:space="preserve"> </w:t>
      </w:r>
      <w:r w:rsidR="0090026A" w:rsidRPr="00190B8A">
        <w:rPr>
          <w:rFonts w:asciiTheme="minorHAnsi" w:hAnsiTheme="minorHAnsi" w:cstheme="minorHAnsi"/>
          <w:sz w:val="22"/>
        </w:rPr>
        <w:t>which</w:t>
      </w:r>
      <w:r w:rsidRPr="00190B8A">
        <w:rPr>
          <w:rFonts w:asciiTheme="minorHAnsi" w:hAnsiTheme="minorHAnsi" w:cstheme="minorHAnsi"/>
          <w:sz w:val="22"/>
        </w:rPr>
        <w:t xml:space="preserve"> must be work</w:t>
      </w:r>
      <w:r w:rsidR="0090026A" w:rsidRPr="00190B8A">
        <w:rPr>
          <w:rFonts w:asciiTheme="minorHAnsi" w:hAnsiTheme="minorHAnsi" w:cstheme="minorHAnsi"/>
          <w:sz w:val="22"/>
        </w:rPr>
        <w:t>ed</w:t>
      </w:r>
      <w:r w:rsidRPr="00190B8A">
        <w:rPr>
          <w:rFonts w:asciiTheme="minorHAnsi" w:hAnsiTheme="minorHAnsi" w:cstheme="minorHAnsi"/>
          <w:sz w:val="22"/>
        </w:rPr>
        <w:t xml:space="preserve"> outside the working hours covered by their </w:t>
      </w:r>
      <w:proofErr w:type="spellStart"/>
      <w:r w:rsidRPr="00190B8A">
        <w:rPr>
          <w:rFonts w:asciiTheme="minorHAnsi" w:hAnsiTheme="minorHAnsi" w:cstheme="minorHAnsi"/>
          <w:sz w:val="22"/>
        </w:rPr>
        <w:t>CoS.</w:t>
      </w:r>
      <w:proofErr w:type="spellEnd"/>
    </w:p>
    <w:p w14:paraId="77CC1535" w14:textId="2CD9E1A2" w:rsidR="003E55D5" w:rsidRPr="00190B8A" w:rsidRDefault="0090026A" w:rsidP="003E55D5">
      <w:pPr>
        <w:rPr>
          <w:rFonts w:asciiTheme="minorHAnsi" w:hAnsiTheme="minorHAnsi" w:cstheme="minorHAnsi"/>
          <w:sz w:val="22"/>
        </w:rPr>
      </w:pPr>
      <w:r w:rsidRPr="00190B8A">
        <w:rPr>
          <w:rFonts w:asciiTheme="minorHAnsi" w:hAnsiTheme="minorHAnsi" w:cstheme="minorHAnsi"/>
          <w:sz w:val="22"/>
        </w:rPr>
        <w:t>On receipt of a signed contract and on completion of right to work check t</w:t>
      </w:r>
      <w:r w:rsidR="00A66566" w:rsidRPr="00190B8A">
        <w:rPr>
          <w:rFonts w:asciiTheme="minorHAnsi" w:hAnsiTheme="minorHAnsi" w:cstheme="minorHAnsi"/>
          <w:sz w:val="22"/>
        </w:rPr>
        <w:t xml:space="preserve">he </w:t>
      </w:r>
      <w:r w:rsidR="002A30BC" w:rsidRPr="00190B8A">
        <w:rPr>
          <w:rFonts w:asciiTheme="minorHAnsi" w:hAnsiTheme="minorHAnsi" w:cstheme="minorHAnsi"/>
          <w:sz w:val="22"/>
        </w:rPr>
        <w:t>TSR Processing Team</w:t>
      </w:r>
      <w:r w:rsidR="003E55D5" w:rsidRPr="00190B8A">
        <w:rPr>
          <w:rFonts w:asciiTheme="minorHAnsi" w:hAnsiTheme="minorHAnsi" w:cstheme="minorHAnsi"/>
          <w:sz w:val="22"/>
        </w:rPr>
        <w:t xml:space="preserve"> will create or update the employment in MyERP, which will enable IT and </w:t>
      </w:r>
      <w:proofErr w:type="spellStart"/>
      <w:r w:rsidR="003E55D5" w:rsidRPr="00190B8A">
        <w:rPr>
          <w:rFonts w:asciiTheme="minorHAnsi" w:hAnsiTheme="minorHAnsi" w:cstheme="minorHAnsi"/>
          <w:sz w:val="22"/>
        </w:rPr>
        <w:t>UCard</w:t>
      </w:r>
      <w:proofErr w:type="spellEnd"/>
      <w:r w:rsidR="003E55D5" w:rsidRPr="00190B8A">
        <w:rPr>
          <w:rFonts w:asciiTheme="minorHAnsi" w:hAnsiTheme="minorHAnsi" w:cstheme="minorHAnsi"/>
          <w:sz w:val="22"/>
        </w:rPr>
        <w:t xml:space="preserve"> access for the individual. New Teaching Support Staff will receive an automated ‘welcome email’ which includes details of how to obtain their </w:t>
      </w:r>
      <w:proofErr w:type="spellStart"/>
      <w:r w:rsidR="003E55D5" w:rsidRPr="00190B8A">
        <w:rPr>
          <w:rFonts w:asciiTheme="minorHAnsi" w:hAnsiTheme="minorHAnsi" w:cstheme="minorHAnsi"/>
          <w:sz w:val="22"/>
        </w:rPr>
        <w:t>UCard</w:t>
      </w:r>
      <w:proofErr w:type="spellEnd"/>
      <w:r w:rsidR="003E55D5" w:rsidRPr="00190B8A">
        <w:rPr>
          <w:rFonts w:asciiTheme="minorHAnsi" w:hAnsiTheme="minorHAnsi" w:cstheme="minorHAnsi"/>
          <w:sz w:val="22"/>
        </w:rPr>
        <w:t xml:space="preserve">, how to make claims, etc. </w:t>
      </w:r>
    </w:p>
    <w:p w14:paraId="6B567D79" w14:textId="23C1FDA8" w:rsidR="003E55D5" w:rsidRPr="00190B8A" w:rsidRDefault="003E55D5" w:rsidP="003E55D5">
      <w:pPr>
        <w:rPr>
          <w:rFonts w:asciiTheme="minorHAnsi" w:hAnsiTheme="minorHAnsi" w:cstheme="minorHAnsi"/>
          <w:sz w:val="22"/>
        </w:rPr>
      </w:pPr>
      <w:r w:rsidRPr="00190B8A">
        <w:rPr>
          <w:rFonts w:asciiTheme="minorHAnsi" w:hAnsiTheme="minorHAnsi" w:cstheme="minorHAnsi"/>
          <w:sz w:val="22"/>
        </w:rPr>
        <w:t xml:space="preserve">Note, the Teaching Support </w:t>
      </w:r>
      <w:r w:rsidRPr="00190B8A">
        <w:rPr>
          <w:rFonts w:asciiTheme="minorHAnsi" w:hAnsiTheme="minorHAnsi" w:cstheme="minorHAnsi"/>
          <w:bCs/>
          <w:sz w:val="22"/>
        </w:rPr>
        <w:t>employment</w:t>
      </w:r>
      <w:r w:rsidRPr="00190B8A">
        <w:rPr>
          <w:rFonts w:asciiTheme="minorHAnsi" w:hAnsiTheme="minorHAnsi" w:cstheme="minorHAnsi"/>
          <w:sz w:val="22"/>
        </w:rPr>
        <w:t xml:space="preserve"> record in MyERP is typically set up to end slightly later than the contract end date, to allow time for the individual to submit their final claim and to prevent IT and </w:t>
      </w:r>
      <w:proofErr w:type="spellStart"/>
      <w:r w:rsidRPr="00190B8A">
        <w:rPr>
          <w:rFonts w:asciiTheme="minorHAnsi" w:hAnsiTheme="minorHAnsi" w:cstheme="minorHAnsi"/>
          <w:sz w:val="22"/>
        </w:rPr>
        <w:t>UCard</w:t>
      </w:r>
      <w:proofErr w:type="spellEnd"/>
      <w:r w:rsidRPr="00190B8A">
        <w:rPr>
          <w:rFonts w:asciiTheme="minorHAnsi" w:hAnsiTheme="minorHAnsi" w:cstheme="minorHAnsi"/>
          <w:sz w:val="22"/>
        </w:rPr>
        <w:t xml:space="preserve"> access being cut off over the summer for staff who may be re-engaged for the following academic year. </w:t>
      </w:r>
    </w:p>
    <w:p w14:paraId="642CED78" w14:textId="77777777" w:rsidR="00D84D8F" w:rsidRPr="00E122F1" w:rsidRDefault="00D84D8F" w:rsidP="003E55D5">
      <w:pPr>
        <w:rPr>
          <w:rFonts w:asciiTheme="minorHAnsi" w:hAnsiTheme="minorHAnsi" w:cstheme="minorHAnsi"/>
          <w:sz w:val="22"/>
        </w:rPr>
      </w:pPr>
    </w:p>
    <w:p w14:paraId="7837FA4B" w14:textId="77777777" w:rsidR="003E55D5" w:rsidRDefault="003E55D5" w:rsidP="003E55D5">
      <w:pPr>
        <w:pStyle w:val="Heading2"/>
      </w:pPr>
      <w:bookmarkStart w:id="11" w:name="_Toc177982923"/>
      <w:r>
        <w:t>Contracting Teaching Support Staff Outside of the Annual Review Process</w:t>
      </w:r>
      <w:bookmarkEnd w:id="11"/>
    </w:p>
    <w:p w14:paraId="59CC28C9" w14:textId="76EBC2C7" w:rsidR="00D671D5" w:rsidRDefault="00D671D5" w:rsidP="003E55D5">
      <w:pPr>
        <w:rPr>
          <w:rFonts w:asciiTheme="minorHAnsi" w:hAnsiTheme="minorHAnsi" w:cstheme="minorHAnsi"/>
          <w:sz w:val="22"/>
        </w:rPr>
      </w:pPr>
      <w:r>
        <w:rPr>
          <w:rFonts w:asciiTheme="minorHAnsi" w:hAnsiTheme="minorHAnsi" w:cstheme="minorHAnsi"/>
          <w:sz w:val="22"/>
        </w:rPr>
        <w:t xml:space="preserve">Outside of the annual review process, additional </w:t>
      </w:r>
      <w:r w:rsidRPr="00DB2DD9">
        <w:rPr>
          <w:rFonts w:asciiTheme="minorHAnsi" w:hAnsiTheme="minorHAnsi" w:cstheme="minorHAnsi"/>
          <w:sz w:val="22"/>
        </w:rPr>
        <w:t xml:space="preserve">TSR requirements should be </w:t>
      </w:r>
      <w:r w:rsidR="004C1871" w:rsidRPr="00DB2DD9">
        <w:rPr>
          <w:rFonts w:asciiTheme="minorHAnsi" w:hAnsiTheme="minorHAnsi" w:cstheme="minorHAnsi"/>
          <w:sz w:val="22"/>
        </w:rPr>
        <w:t>raised,</w:t>
      </w:r>
      <w:r w:rsidRPr="00DB2DD9">
        <w:rPr>
          <w:rFonts w:asciiTheme="minorHAnsi" w:hAnsiTheme="minorHAnsi" w:cstheme="minorHAnsi"/>
          <w:sz w:val="22"/>
        </w:rPr>
        <w:t xml:space="preserve"> </w:t>
      </w:r>
      <w:r w:rsidR="004C1871" w:rsidRPr="00DB2DD9">
        <w:rPr>
          <w:rFonts w:asciiTheme="minorHAnsi" w:hAnsiTheme="minorHAnsi" w:cstheme="minorHAnsi"/>
          <w:sz w:val="22"/>
        </w:rPr>
        <w:t xml:space="preserve">and </w:t>
      </w:r>
      <w:r w:rsidR="00CD6EE7" w:rsidRPr="00DB2DD9">
        <w:rPr>
          <w:rFonts w:asciiTheme="minorHAnsi" w:hAnsiTheme="minorHAnsi" w:cstheme="minorHAnsi"/>
          <w:sz w:val="22"/>
        </w:rPr>
        <w:t xml:space="preserve">advertising </w:t>
      </w:r>
      <w:r w:rsidR="004C1871" w:rsidRPr="00DB2DD9">
        <w:rPr>
          <w:rFonts w:asciiTheme="minorHAnsi" w:hAnsiTheme="minorHAnsi" w:cstheme="minorHAnsi"/>
          <w:sz w:val="22"/>
        </w:rPr>
        <w:t>timelines agreed with the</w:t>
      </w:r>
      <w:r w:rsidRPr="00DB2DD9">
        <w:rPr>
          <w:rFonts w:asciiTheme="minorHAnsi" w:hAnsiTheme="minorHAnsi" w:cstheme="minorHAnsi"/>
          <w:sz w:val="22"/>
        </w:rPr>
        <w:t xml:space="preserve"> </w:t>
      </w:r>
      <w:r w:rsidR="004C1871" w:rsidRPr="00DB2DD9">
        <w:rPr>
          <w:rFonts w:asciiTheme="minorHAnsi" w:hAnsiTheme="minorHAnsi" w:cstheme="minorHAnsi"/>
          <w:sz w:val="22"/>
        </w:rPr>
        <w:t xml:space="preserve">Resourcing Team and TSR Processing Team as soon as possible. Once appropriate workers have been identified </w:t>
      </w:r>
      <w:r w:rsidRPr="00DB2DD9">
        <w:rPr>
          <w:rFonts w:asciiTheme="minorHAnsi" w:hAnsiTheme="minorHAnsi" w:cstheme="minorHAnsi"/>
          <w:sz w:val="22"/>
        </w:rPr>
        <w:t>the School</w:t>
      </w:r>
      <w:r w:rsidR="00DB569E">
        <w:rPr>
          <w:rFonts w:asciiTheme="minorHAnsi" w:hAnsiTheme="minorHAnsi" w:cstheme="minorHAnsi"/>
          <w:sz w:val="22"/>
        </w:rPr>
        <w:t xml:space="preserve"> </w:t>
      </w:r>
      <w:r w:rsidRPr="00DB2DD9">
        <w:rPr>
          <w:rFonts w:asciiTheme="minorHAnsi" w:hAnsiTheme="minorHAnsi" w:cstheme="minorHAnsi"/>
          <w:sz w:val="22"/>
        </w:rPr>
        <w:t>/</w:t>
      </w:r>
      <w:r w:rsidR="00DB569E">
        <w:rPr>
          <w:rFonts w:asciiTheme="minorHAnsi" w:hAnsiTheme="minorHAnsi" w:cstheme="minorHAnsi"/>
          <w:sz w:val="22"/>
        </w:rPr>
        <w:t xml:space="preserve"> </w:t>
      </w:r>
      <w:r w:rsidRPr="00DB2DD9">
        <w:rPr>
          <w:rFonts w:asciiTheme="minorHAnsi" w:hAnsiTheme="minorHAnsi" w:cstheme="minorHAnsi"/>
          <w:sz w:val="22"/>
        </w:rPr>
        <w:t xml:space="preserve">Section Manager or TSR Coordinator </w:t>
      </w:r>
      <w:r w:rsidR="004C1871" w:rsidRPr="00DB2DD9">
        <w:rPr>
          <w:rFonts w:asciiTheme="minorHAnsi" w:hAnsiTheme="minorHAnsi" w:cstheme="minorHAnsi"/>
          <w:sz w:val="22"/>
        </w:rPr>
        <w:t xml:space="preserve">should upload </w:t>
      </w:r>
      <w:r w:rsidR="0074146E" w:rsidRPr="00DB2DD9">
        <w:rPr>
          <w:rFonts w:asciiTheme="minorHAnsi" w:hAnsiTheme="minorHAnsi" w:cstheme="minorHAnsi"/>
          <w:sz w:val="22"/>
        </w:rPr>
        <w:t xml:space="preserve">a fresh copy of the TSR Toolkit (listing only the new workers </w:t>
      </w:r>
      <w:r w:rsidR="00CD6EE7" w:rsidRPr="00DB2DD9">
        <w:rPr>
          <w:rFonts w:asciiTheme="minorHAnsi" w:hAnsiTheme="minorHAnsi" w:cstheme="minorHAnsi"/>
          <w:sz w:val="22"/>
        </w:rPr>
        <w:t>recruited</w:t>
      </w:r>
      <w:r w:rsidR="0074146E" w:rsidRPr="00DB2DD9">
        <w:rPr>
          <w:rFonts w:asciiTheme="minorHAnsi" w:hAnsiTheme="minorHAnsi" w:cstheme="minorHAnsi"/>
          <w:sz w:val="22"/>
        </w:rPr>
        <w:t xml:space="preserve">) </w:t>
      </w:r>
      <w:r w:rsidR="004C1871">
        <w:rPr>
          <w:rFonts w:asciiTheme="minorHAnsi" w:hAnsiTheme="minorHAnsi" w:cstheme="minorHAnsi"/>
          <w:sz w:val="22"/>
        </w:rPr>
        <w:t xml:space="preserve">to the TSR Processing Team SharePoint site as outlined in </w:t>
      </w:r>
      <w:hyperlink w:anchor="_TSR_Annual_Review" w:history="1">
        <w:r w:rsidR="004C1871" w:rsidRPr="00802AA6">
          <w:rPr>
            <w:rStyle w:val="Hyperlink"/>
            <w:rFonts w:asciiTheme="minorHAnsi" w:hAnsiTheme="minorHAnsi" w:cstheme="minorHAnsi"/>
            <w:sz w:val="22"/>
          </w:rPr>
          <w:t>sections 2.</w:t>
        </w:r>
        <w:r w:rsidR="00D44910" w:rsidRPr="00802AA6">
          <w:rPr>
            <w:rStyle w:val="Hyperlink"/>
            <w:rFonts w:asciiTheme="minorHAnsi" w:hAnsiTheme="minorHAnsi" w:cstheme="minorHAnsi"/>
            <w:sz w:val="22"/>
          </w:rPr>
          <w:t>2</w:t>
        </w:r>
        <w:r w:rsidR="004C1871" w:rsidRPr="00802AA6">
          <w:rPr>
            <w:rStyle w:val="Hyperlink"/>
            <w:rFonts w:asciiTheme="minorHAnsi" w:hAnsiTheme="minorHAnsi" w:cstheme="minorHAnsi"/>
            <w:sz w:val="22"/>
          </w:rPr>
          <w:t xml:space="preserve"> – 2.2.1</w:t>
        </w:r>
      </w:hyperlink>
      <w:r w:rsidR="004C1871">
        <w:rPr>
          <w:rFonts w:asciiTheme="minorHAnsi" w:hAnsiTheme="minorHAnsi" w:cstheme="minorHAnsi"/>
          <w:sz w:val="22"/>
        </w:rPr>
        <w:t>.</w:t>
      </w:r>
      <w:r w:rsidR="009007A9">
        <w:rPr>
          <w:rFonts w:asciiTheme="minorHAnsi" w:hAnsiTheme="minorHAnsi" w:cstheme="minorHAnsi"/>
          <w:sz w:val="22"/>
        </w:rPr>
        <w:t xml:space="preserve"> Please note that </w:t>
      </w:r>
      <w:r w:rsidR="00802AA6">
        <w:rPr>
          <w:rFonts w:asciiTheme="minorHAnsi" w:hAnsiTheme="minorHAnsi" w:cstheme="minorHAnsi"/>
          <w:sz w:val="22"/>
        </w:rPr>
        <w:t xml:space="preserve">approval is still required from the HR Business Partnering Team and any </w:t>
      </w:r>
      <w:r w:rsidR="009007A9">
        <w:rPr>
          <w:rFonts w:asciiTheme="minorHAnsi" w:hAnsiTheme="minorHAnsi" w:cstheme="minorHAnsi"/>
          <w:sz w:val="22"/>
        </w:rPr>
        <w:t>requests received outside of agreed timelines will not be prioritised.</w:t>
      </w:r>
    </w:p>
    <w:p w14:paraId="220BC1BC" w14:textId="539C23CA" w:rsidR="00043A69" w:rsidRPr="00DB2DD9" w:rsidRDefault="00043A69" w:rsidP="003E55D5">
      <w:pPr>
        <w:rPr>
          <w:rFonts w:asciiTheme="minorHAnsi" w:hAnsiTheme="minorHAnsi" w:cstheme="minorHAnsi"/>
          <w:sz w:val="22"/>
        </w:rPr>
      </w:pPr>
      <w:r w:rsidRPr="00DB2DD9">
        <w:rPr>
          <w:rFonts w:ascii="Calibri" w:hAnsi="Calibri" w:cs="Calibri"/>
          <w:sz w:val="22"/>
        </w:rPr>
        <w:t>To allow the TSR Processing Team to focus on issuing contracts and extensions in the lead up to the start of the academic year, it is asked that any amendments to hours be submitted outside of this period and submitted during the adjustment period in February</w:t>
      </w:r>
      <w:r w:rsidR="00217C3B" w:rsidRPr="00DB2DD9">
        <w:rPr>
          <w:rFonts w:ascii="Calibri" w:hAnsi="Calibri" w:cs="Calibri"/>
          <w:sz w:val="22"/>
        </w:rPr>
        <w:t xml:space="preserve"> (</w:t>
      </w:r>
      <w:hyperlink w:anchor="_Amendment_Period" w:history="1">
        <w:r w:rsidR="000A65CF">
          <w:rPr>
            <w:rStyle w:val="Hyperlink"/>
            <w:rFonts w:ascii="Calibri" w:hAnsi="Calibri" w:cs="Calibri"/>
            <w:sz w:val="22"/>
          </w:rPr>
          <w:t>section 4.1.3</w:t>
        </w:r>
      </w:hyperlink>
      <w:r w:rsidR="00217C3B" w:rsidRPr="00DB2DD9">
        <w:rPr>
          <w:rFonts w:ascii="Calibri" w:hAnsi="Calibri" w:cs="Calibri"/>
          <w:sz w:val="22"/>
        </w:rPr>
        <w:t>).</w:t>
      </w:r>
    </w:p>
    <w:p w14:paraId="72F70ECA" w14:textId="77777777" w:rsidR="003E55D5" w:rsidRPr="00436021" w:rsidRDefault="003E55D5" w:rsidP="003E55D5">
      <w:pPr>
        <w:pStyle w:val="Heading1"/>
        <w:rPr>
          <w:szCs w:val="22"/>
        </w:rPr>
      </w:pPr>
      <w:bookmarkStart w:id="12" w:name="_Toc177982924"/>
      <w:r>
        <w:lastRenderedPageBreak/>
        <w:t>Paying Teaching Support Staff</w:t>
      </w:r>
      <w:bookmarkEnd w:id="12"/>
    </w:p>
    <w:p w14:paraId="0AFF542C" w14:textId="77777777" w:rsidR="003E55D5" w:rsidRDefault="003E55D5" w:rsidP="003E55D5">
      <w:pPr>
        <w:rPr>
          <w:rFonts w:asciiTheme="minorHAnsi" w:hAnsiTheme="minorHAnsi" w:cstheme="minorHAnsi"/>
          <w:b/>
          <w:sz w:val="22"/>
        </w:rPr>
      </w:pPr>
    </w:p>
    <w:p w14:paraId="004CC7F9" w14:textId="77777777" w:rsidR="003E55D5" w:rsidRPr="00436021" w:rsidRDefault="003E55D5" w:rsidP="003E55D5">
      <w:pPr>
        <w:pStyle w:val="Heading2"/>
      </w:pPr>
      <w:bookmarkStart w:id="13" w:name="_Toc177982925"/>
      <w:r>
        <w:t>TSR</w:t>
      </w:r>
      <w:r w:rsidRPr="00436021">
        <w:t xml:space="preserve"> Monthly Claim Process</w:t>
      </w:r>
      <w:bookmarkEnd w:id="13"/>
    </w:p>
    <w:p w14:paraId="1CA04079" w14:textId="10EA214E" w:rsidR="003E55D5" w:rsidRPr="00436021" w:rsidRDefault="003E55D5" w:rsidP="003E55D5">
      <w:pPr>
        <w:rPr>
          <w:rFonts w:asciiTheme="minorHAnsi" w:hAnsiTheme="minorHAnsi" w:cstheme="minorHAnsi"/>
          <w:sz w:val="22"/>
        </w:rPr>
      </w:pPr>
      <w:r>
        <w:rPr>
          <w:rFonts w:asciiTheme="minorHAnsi" w:hAnsiTheme="minorHAnsi" w:cstheme="minorHAnsi"/>
          <w:sz w:val="22"/>
        </w:rPr>
        <w:t>Teaching Support Staff</w:t>
      </w:r>
      <w:r w:rsidRPr="00436021">
        <w:rPr>
          <w:rFonts w:asciiTheme="minorHAnsi" w:hAnsiTheme="minorHAnsi" w:cstheme="minorHAnsi"/>
          <w:sz w:val="22"/>
        </w:rPr>
        <w:t xml:space="preserve"> are not paid automatically based on their contracted hours, but on the basis </w:t>
      </w:r>
      <w:r w:rsidRPr="00FF1CD2">
        <w:rPr>
          <w:rFonts w:asciiTheme="minorHAnsi" w:hAnsiTheme="minorHAnsi" w:cstheme="minorHAnsi"/>
          <w:sz w:val="22"/>
        </w:rPr>
        <w:t xml:space="preserve">of a </w:t>
      </w:r>
      <w:r w:rsidR="00F46380" w:rsidRPr="00FF1CD2">
        <w:rPr>
          <w:rFonts w:asciiTheme="minorHAnsi" w:hAnsiTheme="minorHAnsi" w:cstheme="minorHAnsi"/>
          <w:sz w:val="22"/>
        </w:rPr>
        <w:t xml:space="preserve">fee </w:t>
      </w:r>
      <w:r w:rsidRPr="00FF1CD2">
        <w:rPr>
          <w:rFonts w:asciiTheme="minorHAnsi" w:hAnsiTheme="minorHAnsi" w:cstheme="minorHAnsi"/>
          <w:sz w:val="22"/>
        </w:rPr>
        <w:t xml:space="preserve">claim form submitted for the actual hours worked.  The TSR </w:t>
      </w:r>
      <w:r w:rsidR="00F46380" w:rsidRPr="00FF1CD2">
        <w:rPr>
          <w:rFonts w:asciiTheme="minorHAnsi" w:hAnsiTheme="minorHAnsi" w:cstheme="minorHAnsi"/>
          <w:sz w:val="22"/>
        </w:rPr>
        <w:t xml:space="preserve">fee </w:t>
      </w:r>
      <w:r w:rsidRPr="00FF1CD2">
        <w:rPr>
          <w:rFonts w:asciiTheme="minorHAnsi" w:hAnsiTheme="minorHAnsi" w:cstheme="minorHAnsi"/>
          <w:sz w:val="22"/>
        </w:rPr>
        <w:t xml:space="preserve">claim form </w:t>
      </w:r>
      <w:r w:rsidR="009007A9" w:rsidRPr="00FF1CD2">
        <w:rPr>
          <w:rFonts w:asciiTheme="minorHAnsi" w:hAnsiTheme="minorHAnsi" w:cstheme="minorHAnsi"/>
          <w:sz w:val="22"/>
        </w:rPr>
        <w:t>(</w:t>
      </w:r>
      <w:r w:rsidR="00426A5C" w:rsidRPr="00FF1CD2">
        <w:rPr>
          <w:rFonts w:asciiTheme="minorHAnsi" w:hAnsiTheme="minorHAnsi" w:cstheme="minorHAnsi"/>
          <w:sz w:val="22"/>
        </w:rPr>
        <w:t xml:space="preserve">previously known as </w:t>
      </w:r>
      <w:r w:rsidR="009007A9">
        <w:rPr>
          <w:rFonts w:asciiTheme="minorHAnsi" w:hAnsiTheme="minorHAnsi" w:cstheme="minorHAnsi"/>
          <w:sz w:val="22"/>
        </w:rPr>
        <w:t xml:space="preserve">hourly paid teaching (HPT) fee claim) </w:t>
      </w:r>
      <w:r w:rsidRPr="00436021">
        <w:rPr>
          <w:rFonts w:asciiTheme="minorHAnsi" w:hAnsiTheme="minorHAnsi" w:cstheme="minorHAnsi"/>
          <w:sz w:val="22"/>
        </w:rPr>
        <w:t>is a MyERP form and full details on how to use this are set out</w:t>
      </w:r>
      <w:r>
        <w:rPr>
          <w:rFonts w:asciiTheme="minorHAnsi" w:hAnsiTheme="minorHAnsi" w:cstheme="minorHAnsi"/>
          <w:sz w:val="22"/>
        </w:rPr>
        <w:t xml:space="preserve"> </w:t>
      </w:r>
      <w:r w:rsidRPr="00436021">
        <w:rPr>
          <w:rFonts w:asciiTheme="minorHAnsi" w:hAnsiTheme="minorHAnsi" w:cstheme="minorHAnsi"/>
          <w:sz w:val="22"/>
        </w:rPr>
        <w:t>on the</w:t>
      </w:r>
      <w:r>
        <w:rPr>
          <w:rFonts w:asciiTheme="minorHAnsi" w:hAnsiTheme="minorHAnsi" w:cstheme="minorHAnsi"/>
          <w:sz w:val="22"/>
        </w:rPr>
        <w:t xml:space="preserve"> </w:t>
      </w:r>
      <w:hyperlink r:id="rId19" w:history="1">
        <w:r w:rsidRPr="009007A9">
          <w:rPr>
            <w:rStyle w:val="Hyperlink"/>
            <w:rFonts w:asciiTheme="minorHAnsi" w:hAnsiTheme="minorHAnsi" w:cstheme="minorHAnsi"/>
            <w:sz w:val="22"/>
          </w:rPr>
          <w:t xml:space="preserve">MyERP Support </w:t>
        </w:r>
        <w:r w:rsidR="009007A9" w:rsidRPr="009007A9">
          <w:rPr>
            <w:rStyle w:val="Hyperlink"/>
            <w:rFonts w:asciiTheme="minorHAnsi" w:hAnsiTheme="minorHAnsi" w:cstheme="minorHAnsi"/>
            <w:sz w:val="22"/>
          </w:rPr>
          <w:t>SharePoint</w:t>
        </w:r>
        <w:r w:rsidRPr="009007A9">
          <w:rPr>
            <w:rStyle w:val="Hyperlink"/>
            <w:rFonts w:asciiTheme="minorHAnsi" w:hAnsiTheme="minorHAnsi" w:cstheme="minorHAnsi"/>
            <w:sz w:val="22"/>
          </w:rPr>
          <w:t xml:space="preserve"> site</w:t>
        </w:r>
      </w:hyperlink>
      <w:r w:rsidR="00EA03DC">
        <w:rPr>
          <w:rFonts w:asciiTheme="minorHAnsi" w:hAnsiTheme="minorHAnsi" w:cstheme="minorHAnsi"/>
          <w:sz w:val="22"/>
        </w:rPr>
        <w:t>.</w:t>
      </w:r>
      <w:r w:rsidR="00EA03DC">
        <w:rPr>
          <w:rStyle w:val="CommentTextChar"/>
        </w:rPr>
        <w:t xml:space="preserve"> </w:t>
      </w:r>
    </w:p>
    <w:p w14:paraId="4AD63175" w14:textId="116C4F8F" w:rsidR="003E55D5" w:rsidRDefault="3683FC86" w:rsidP="78DE4EE1">
      <w:pPr>
        <w:rPr>
          <w:rFonts w:asciiTheme="minorHAnsi" w:hAnsiTheme="minorHAnsi"/>
          <w:sz w:val="22"/>
          <w:highlight w:val="yellow"/>
        </w:rPr>
      </w:pPr>
      <w:r w:rsidRPr="78DE4EE1">
        <w:rPr>
          <w:rFonts w:asciiTheme="minorHAnsi" w:hAnsiTheme="minorHAnsi"/>
          <w:b/>
          <w:bCs/>
          <w:sz w:val="22"/>
        </w:rPr>
        <w:t>It is essential that claims are submitted on a monthly basis for work completed in the previous month, by the appropriate deadline</w:t>
      </w:r>
      <w:r w:rsidRPr="78DE4EE1">
        <w:rPr>
          <w:rFonts w:asciiTheme="minorHAnsi" w:hAnsiTheme="minorHAnsi"/>
          <w:sz w:val="22"/>
        </w:rPr>
        <w:t xml:space="preserve"> </w:t>
      </w:r>
      <w:r w:rsidR="186B81E6" w:rsidRPr="78DE4EE1">
        <w:rPr>
          <w:rFonts w:asciiTheme="minorHAnsi" w:hAnsiTheme="minorHAnsi"/>
          <w:sz w:val="22"/>
        </w:rPr>
        <w:t xml:space="preserve">(deadlines and timescales associated with claims and payments can be found on the </w:t>
      </w:r>
      <w:hyperlink r:id="rId20">
        <w:r w:rsidR="186B81E6" w:rsidRPr="78DE4EE1">
          <w:rPr>
            <w:rStyle w:val="Hyperlink"/>
            <w:rFonts w:asciiTheme="minorHAnsi" w:hAnsiTheme="minorHAnsi"/>
            <w:sz w:val="22"/>
          </w:rPr>
          <w:t>Finance Services SharePoint Site</w:t>
        </w:r>
      </w:hyperlink>
      <w:r w:rsidR="186B81E6" w:rsidRPr="78DE4EE1">
        <w:rPr>
          <w:rFonts w:asciiTheme="minorHAnsi" w:hAnsiTheme="minorHAnsi"/>
          <w:sz w:val="22"/>
        </w:rPr>
        <w:t>)</w:t>
      </w:r>
      <w:r w:rsidR="186B81E6" w:rsidRPr="78DE4EE1">
        <w:rPr>
          <w:rFonts w:asciiTheme="minorHAnsi" w:hAnsiTheme="minorHAnsi"/>
          <w:b/>
          <w:bCs/>
          <w:sz w:val="22"/>
        </w:rPr>
        <w:t>.</w:t>
      </w:r>
      <w:r w:rsidRPr="78DE4EE1">
        <w:rPr>
          <w:rFonts w:asciiTheme="minorHAnsi" w:hAnsiTheme="minorHAnsi"/>
          <w:sz w:val="22"/>
        </w:rPr>
        <w:t xml:space="preserve"> </w:t>
      </w:r>
      <w:r w:rsidRPr="00FF1CD2">
        <w:rPr>
          <w:rFonts w:asciiTheme="minorHAnsi" w:hAnsiTheme="minorHAnsi"/>
          <w:sz w:val="22"/>
        </w:rPr>
        <w:t xml:space="preserve">This is very important in terms of HRMC regulations and the accuracy of the University’s reporting and </w:t>
      </w:r>
      <w:r w:rsidR="732CD353" w:rsidRPr="00FF1CD2">
        <w:rPr>
          <w:rFonts w:asciiTheme="minorHAnsi" w:hAnsiTheme="minorHAnsi"/>
          <w:sz w:val="22"/>
        </w:rPr>
        <w:t xml:space="preserve">compliance </w:t>
      </w:r>
      <w:r w:rsidRPr="00FF1CD2">
        <w:rPr>
          <w:rFonts w:asciiTheme="minorHAnsi" w:hAnsiTheme="minorHAnsi"/>
          <w:sz w:val="22"/>
        </w:rPr>
        <w:t xml:space="preserve">monitoring adherence to visa restrictions in the case of </w:t>
      </w:r>
      <w:r w:rsidR="5EF794B4" w:rsidRPr="00FF1CD2">
        <w:rPr>
          <w:rFonts w:asciiTheme="minorHAnsi" w:hAnsiTheme="minorHAnsi"/>
          <w:sz w:val="22"/>
        </w:rPr>
        <w:t>Student/</w:t>
      </w:r>
      <w:r w:rsidRPr="00FF1CD2">
        <w:rPr>
          <w:rFonts w:asciiTheme="minorHAnsi" w:hAnsiTheme="minorHAnsi"/>
          <w:sz w:val="22"/>
        </w:rPr>
        <w:t>Tier 4 student workers. Failure to submit claims on a timely basis could lead to unnecessary concerns and investigations.</w:t>
      </w:r>
    </w:p>
    <w:p w14:paraId="16343304" w14:textId="5A21B868" w:rsidR="003E55D5" w:rsidRPr="00436021" w:rsidRDefault="3683FC86" w:rsidP="78DE4EE1">
      <w:pPr>
        <w:rPr>
          <w:rFonts w:asciiTheme="minorHAnsi" w:hAnsiTheme="minorHAnsi"/>
          <w:sz w:val="22"/>
        </w:rPr>
      </w:pPr>
      <w:r w:rsidRPr="78DE4EE1">
        <w:rPr>
          <w:rFonts w:asciiTheme="minorHAnsi" w:hAnsiTheme="minorHAnsi"/>
          <w:sz w:val="22"/>
        </w:rPr>
        <w:t xml:space="preserve">It is also a contractual requirement that claims are submitted on a monthly basis, and the individual is directed to do this and is provided with a </w:t>
      </w:r>
      <w:r w:rsidRPr="00FF1CD2">
        <w:rPr>
          <w:rFonts w:asciiTheme="minorHAnsi" w:hAnsiTheme="minorHAnsi"/>
          <w:sz w:val="22"/>
        </w:rPr>
        <w:t xml:space="preserve">link </w:t>
      </w:r>
      <w:r w:rsidR="5BF200AA" w:rsidRPr="00FF1CD2">
        <w:rPr>
          <w:rFonts w:asciiTheme="minorHAnsi" w:hAnsiTheme="minorHAnsi"/>
          <w:sz w:val="22"/>
        </w:rPr>
        <w:t xml:space="preserve">to guidance </w:t>
      </w:r>
      <w:r w:rsidRPr="00FF1CD2">
        <w:rPr>
          <w:rFonts w:asciiTheme="minorHAnsi" w:hAnsiTheme="minorHAnsi"/>
          <w:sz w:val="22"/>
        </w:rPr>
        <w:t xml:space="preserve">in </w:t>
      </w:r>
      <w:r w:rsidRPr="78DE4EE1">
        <w:rPr>
          <w:rFonts w:asciiTheme="minorHAnsi" w:hAnsiTheme="minorHAnsi"/>
          <w:sz w:val="22"/>
        </w:rPr>
        <w:t xml:space="preserve">their TSR Contract and the TSR Welcome alert.  </w:t>
      </w:r>
    </w:p>
    <w:p w14:paraId="6B95EE4D" w14:textId="1ACB4F42" w:rsidR="003E55D5" w:rsidRDefault="003E55D5" w:rsidP="003E55D5">
      <w:pPr>
        <w:rPr>
          <w:rFonts w:asciiTheme="minorHAnsi" w:hAnsiTheme="minorHAnsi" w:cstheme="minorHAnsi"/>
          <w:sz w:val="22"/>
        </w:rPr>
      </w:pPr>
      <w:r w:rsidRPr="00436021">
        <w:rPr>
          <w:rFonts w:asciiTheme="minorHAnsi" w:hAnsiTheme="minorHAnsi" w:cstheme="minorHAnsi"/>
          <w:sz w:val="22"/>
        </w:rPr>
        <w:t xml:space="preserve">The </w:t>
      </w:r>
      <w:r>
        <w:rPr>
          <w:rFonts w:asciiTheme="minorHAnsi" w:hAnsiTheme="minorHAnsi" w:cstheme="minorHAnsi"/>
          <w:sz w:val="22"/>
        </w:rPr>
        <w:t>individual</w:t>
      </w:r>
      <w:r w:rsidRPr="00436021">
        <w:rPr>
          <w:rFonts w:asciiTheme="minorHAnsi" w:hAnsiTheme="minorHAnsi" w:cstheme="minorHAnsi"/>
          <w:sz w:val="22"/>
        </w:rPr>
        <w:t xml:space="preserve"> works their contracted hours and at the end of each month worked, completes the MyERP </w:t>
      </w:r>
      <w:r>
        <w:rPr>
          <w:rFonts w:asciiTheme="minorHAnsi" w:hAnsiTheme="minorHAnsi" w:cstheme="minorHAnsi"/>
          <w:sz w:val="22"/>
        </w:rPr>
        <w:t>TSR</w:t>
      </w:r>
      <w:r w:rsidRPr="00436021">
        <w:rPr>
          <w:rFonts w:asciiTheme="minorHAnsi" w:hAnsiTheme="minorHAnsi" w:cstheme="minorHAnsi"/>
          <w:sz w:val="22"/>
        </w:rPr>
        <w:t xml:space="preserve"> </w:t>
      </w:r>
      <w:r w:rsidR="00DE5D89">
        <w:rPr>
          <w:rFonts w:asciiTheme="minorHAnsi" w:hAnsiTheme="minorHAnsi" w:cstheme="minorHAnsi"/>
          <w:sz w:val="22"/>
        </w:rPr>
        <w:t>(HP</w:t>
      </w:r>
      <w:r w:rsidR="00DE5D89" w:rsidRPr="00FF1CD2">
        <w:rPr>
          <w:rFonts w:asciiTheme="minorHAnsi" w:hAnsiTheme="minorHAnsi" w:cstheme="minorHAnsi"/>
          <w:sz w:val="22"/>
        </w:rPr>
        <w:t xml:space="preserve">T) </w:t>
      </w:r>
      <w:r w:rsidR="00F46380" w:rsidRPr="00FF1CD2">
        <w:rPr>
          <w:rFonts w:asciiTheme="minorHAnsi" w:hAnsiTheme="minorHAnsi" w:cstheme="minorHAnsi"/>
          <w:sz w:val="22"/>
        </w:rPr>
        <w:t xml:space="preserve">Fee </w:t>
      </w:r>
      <w:r w:rsidRPr="00FF1CD2">
        <w:rPr>
          <w:rFonts w:asciiTheme="minorHAnsi" w:hAnsiTheme="minorHAnsi" w:cstheme="minorHAnsi"/>
          <w:sz w:val="22"/>
        </w:rPr>
        <w:t xml:space="preserve">Claim </w:t>
      </w:r>
      <w:r w:rsidRPr="00436021">
        <w:rPr>
          <w:rFonts w:asciiTheme="minorHAnsi" w:hAnsiTheme="minorHAnsi" w:cstheme="minorHAnsi"/>
          <w:sz w:val="22"/>
        </w:rPr>
        <w:t>Form.</w:t>
      </w:r>
    </w:p>
    <w:p w14:paraId="71E3F59B" w14:textId="4F316294" w:rsidR="003E55D5" w:rsidRPr="000F740B" w:rsidRDefault="003E55D5" w:rsidP="003E55D5">
      <w:pPr>
        <w:rPr>
          <w:rFonts w:asciiTheme="minorHAnsi" w:hAnsiTheme="minorHAnsi" w:cstheme="minorHAnsi"/>
          <w:sz w:val="22"/>
        </w:rPr>
      </w:pPr>
      <w:r>
        <w:rPr>
          <w:rFonts w:asciiTheme="minorHAnsi" w:hAnsiTheme="minorHAnsi" w:cstheme="minorHAnsi"/>
          <w:sz w:val="22"/>
        </w:rPr>
        <w:t>If the School requires additional information from individuals to inform approval of claims, e.g. which unit the teaching relates to, the individual can use the ‘comments’ field on the claim for</w:t>
      </w:r>
      <w:r w:rsidR="00CE3179">
        <w:rPr>
          <w:rFonts w:asciiTheme="minorHAnsi" w:hAnsiTheme="minorHAnsi" w:cstheme="minorHAnsi"/>
          <w:sz w:val="22"/>
        </w:rPr>
        <w:t>m</w:t>
      </w:r>
      <w:r>
        <w:rPr>
          <w:rFonts w:asciiTheme="minorHAnsi" w:hAnsiTheme="minorHAnsi" w:cstheme="minorHAnsi"/>
          <w:sz w:val="22"/>
        </w:rPr>
        <w:t xml:space="preserve"> to provide this. The School / Section Manager or TSR Coordinator should communicate this to their Teaching Support Staff locally.</w:t>
      </w:r>
    </w:p>
    <w:p w14:paraId="51524267" w14:textId="00169CD1" w:rsidR="003E55D5" w:rsidRDefault="004F40B6" w:rsidP="003E55D5">
      <w:pPr>
        <w:rPr>
          <w:rFonts w:asciiTheme="minorHAnsi" w:hAnsiTheme="minorHAnsi" w:cstheme="minorHAnsi"/>
          <w:sz w:val="22"/>
        </w:rPr>
      </w:pPr>
      <w:r w:rsidRPr="00436021">
        <w:rPr>
          <w:rFonts w:asciiTheme="minorHAnsi" w:hAnsiTheme="minorHAnsi" w:cstheme="minorHAnsi"/>
          <w:sz w:val="22"/>
        </w:rPr>
        <w:t xml:space="preserve">An email alert is generated to the </w:t>
      </w:r>
      <w:r>
        <w:rPr>
          <w:rFonts w:asciiTheme="minorHAnsi" w:hAnsiTheme="minorHAnsi" w:cstheme="minorHAnsi"/>
          <w:sz w:val="22"/>
        </w:rPr>
        <w:t>individual</w:t>
      </w:r>
      <w:r w:rsidRPr="00436021">
        <w:rPr>
          <w:rFonts w:asciiTheme="minorHAnsi" w:hAnsiTheme="minorHAnsi" w:cstheme="minorHAnsi"/>
          <w:sz w:val="22"/>
        </w:rPr>
        <w:t xml:space="preserve"> to </w:t>
      </w:r>
      <w:r>
        <w:rPr>
          <w:rFonts w:asciiTheme="minorHAnsi" w:hAnsiTheme="minorHAnsi" w:cstheme="minorHAnsi"/>
          <w:sz w:val="22"/>
        </w:rPr>
        <w:t xml:space="preserve">remind them of their </w:t>
      </w:r>
      <w:r w:rsidR="003E55D5" w:rsidRPr="00436021">
        <w:rPr>
          <w:rFonts w:asciiTheme="minorHAnsi" w:hAnsiTheme="minorHAnsi" w:cstheme="minorHAnsi"/>
          <w:sz w:val="22"/>
        </w:rPr>
        <w:t>contract end date</w:t>
      </w:r>
      <w:r>
        <w:rPr>
          <w:rFonts w:asciiTheme="minorHAnsi" w:hAnsiTheme="minorHAnsi" w:cstheme="minorHAnsi"/>
          <w:sz w:val="22"/>
        </w:rPr>
        <w:t>, final pay claims must be submitted prior to this end date</w:t>
      </w:r>
      <w:r w:rsidR="003E55D5" w:rsidRPr="00436021">
        <w:rPr>
          <w:rFonts w:asciiTheme="minorHAnsi" w:hAnsiTheme="minorHAnsi" w:cstheme="minorHAnsi"/>
          <w:sz w:val="22"/>
        </w:rPr>
        <w:t xml:space="preserve"> as they may not have access to MyERP after that date</w:t>
      </w:r>
      <w:r w:rsidR="00DE5D89">
        <w:rPr>
          <w:rFonts w:asciiTheme="minorHAnsi" w:hAnsiTheme="minorHAnsi" w:cstheme="minorHAnsi"/>
          <w:sz w:val="22"/>
        </w:rPr>
        <w:t xml:space="preserve"> to submit the claim</w:t>
      </w:r>
      <w:r w:rsidR="003E55D5" w:rsidRPr="00436021">
        <w:rPr>
          <w:rFonts w:asciiTheme="minorHAnsi" w:hAnsiTheme="minorHAnsi" w:cstheme="minorHAnsi"/>
          <w:sz w:val="22"/>
        </w:rPr>
        <w:t xml:space="preserve">.  </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3"/>
        <w:gridCol w:w="8235"/>
      </w:tblGrid>
      <w:tr w:rsidR="003E55D5" w:rsidRPr="00436021" w14:paraId="79F2F9B3" w14:textId="77777777" w:rsidTr="78DE4EE1">
        <w:trPr>
          <w:trHeight w:val="610"/>
        </w:trPr>
        <w:tc>
          <w:tcPr>
            <w:tcW w:w="434" w:type="pct"/>
            <w:vAlign w:val="center"/>
          </w:tcPr>
          <w:p w14:paraId="5BCA5670" w14:textId="77777777" w:rsidR="003E55D5" w:rsidRPr="00436021" w:rsidRDefault="003E55D5">
            <w:pPr>
              <w:rPr>
                <w:rFonts w:asciiTheme="minorHAnsi" w:hAnsiTheme="minorHAnsi" w:cstheme="minorHAnsi"/>
                <w:sz w:val="22"/>
                <w:highlight w:val="lightGray"/>
              </w:rPr>
            </w:pPr>
            <w:r w:rsidRPr="00436021">
              <w:rPr>
                <w:rFonts w:asciiTheme="minorHAnsi" w:hAnsiTheme="minorHAnsi" w:cstheme="minorHAnsi"/>
                <w:noProof/>
                <w:sz w:val="22"/>
                <w:lang w:eastAsia="en-GB"/>
              </w:rPr>
              <w:drawing>
                <wp:inline distT="0" distB="0" distL="0" distR="0" wp14:anchorId="4F70505F" wp14:editId="22C82C80">
                  <wp:extent cx="323850" cy="323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INFO_RED_SMALL.jpg"/>
                          <pic:cNvPicPr/>
                        </pic:nvPicPr>
                        <pic:blipFill>
                          <a:blip r:embed="rId21" cstate="print">
                            <a:extLst>
                              <a:ext uri="{28A0092B-C50C-407E-A947-70E740481C1C}">
                                <a14:useLocalDpi xmlns:a14="http://schemas.microsoft.com/office/drawing/2010/main" val="0"/>
                              </a:ext>
                            </a:extLst>
                          </a:blip>
                          <a:stretch>
                            <a:fillRect/>
                          </a:stretch>
                        </pic:blipFill>
                        <pic:spPr>
                          <a:xfrm rot="10800000">
                            <a:off x="0" y="0"/>
                            <a:ext cx="323850" cy="323850"/>
                          </a:xfrm>
                          <a:prstGeom prst="rect">
                            <a:avLst/>
                          </a:prstGeom>
                        </pic:spPr>
                      </pic:pic>
                    </a:graphicData>
                  </a:graphic>
                </wp:inline>
              </w:drawing>
            </w:r>
          </w:p>
        </w:tc>
        <w:tc>
          <w:tcPr>
            <w:tcW w:w="4566" w:type="pct"/>
            <w:vAlign w:val="center"/>
          </w:tcPr>
          <w:p w14:paraId="7C62EB8A" w14:textId="4E47F4C0" w:rsidR="003E55D5" w:rsidRPr="00436021" w:rsidRDefault="3683FC86" w:rsidP="78DE4EE1">
            <w:pPr>
              <w:rPr>
                <w:rFonts w:asciiTheme="minorHAnsi" w:hAnsiTheme="minorHAnsi"/>
                <w:sz w:val="22"/>
              </w:rPr>
            </w:pPr>
            <w:r w:rsidRPr="78DE4EE1">
              <w:rPr>
                <w:rFonts w:asciiTheme="minorHAnsi" w:hAnsiTheme="minorHAnsi"/>
                <w:sz w:val="22"/>
              </w:rPr>
              <w:t xml:space="preserve">Note, Schools must ensure that individuals working on a </w:t>
            </w:r>
            <w:hyperlink r:id="rId22">
              <w:r w:rsidR="1720A722" w:rsidRPr="78DE4EE1">
                <w:rPr>
                  <w:rStyle w:val="Hyperlink"/>
                  <w:rFonts w:asciiTheme="minorHAnsi" w:hAnsiTheme="minorHAnsi"/>
                  <w:sz w:val="22"/>
                </w:rPr>
                <w:t>Student/</w:t>
              </w:r>
              <w:r w:rsidRPr="78DE4EE1">
                <w:rPr>
                  <w:rStyle w:val="Hyperlink"/>
                  <w:rFonts w:asciiTheme="minorHAnsi" w:hAnsiTheme="minorHAnsi"/>
                  <w:sz w:val="22"/>
                </w:rPr>
                <w:t>Tier 4 visa</w:t>
              </w:r>
            </w:hyperlink>
            <w:r w:rsidRPr="78DE4EE1">
              <w:rPr>
                <w:rFonts w:asciiTheme="minorHAnsi" w:hAnsiTheme="minorHAnsi"/>
                <w:sz w:val="22"/>
              </w:rPr>
              <w:t xml:space="preserve"> do not work more than </w:t>
            </w:r>
            <w:r w:rsidR="1720A722" w:rsidRPr="78DE4EE1">
              <w:rPr>
                <w:rFonts w:asciiTheme="minorHAnsi" w:hAnsiTheme="minorHAnsi"/>
                <w:sz w:val="22"/>
              </w:rPr>
              <w:t xml:space="preserve">the hours permitted depending on their student status </w:t>
            </w:r>
            <w:r w:rsidR="1491FFE2" w:rsidRPr="78DE4EE1">
              <w:rPr>
                <w:rFonts w:asciiTheme="minorHAnsi" w:hAnsiTheme="minorHAnsi"/>
                <w:sz w:val="22"/>
              </w:rPr>
              <w:t>i.e.</w:t>
            </w:r>
            <w:r w:rsidR="1720A722" w:rsidRPr="78DE4EE1">
              <w:rPr>
                <w:rFonts w:asciiTheme="minorHAnsi" w:hAnsiTheme="minorHAnsi"/>
                <w:sz w:val="22"/>
              </w:rPr>
              <w:t xml:space="preserve"> UG or PG</w:t>
            </w:r>
            <w:r w:rsidRPr="78DE4EE1">
              <w:rPr>
                <w:rFonts w:asciiTheme="minorHAnsi" w:hAnsiTheme="minorHAnsi"/>
                <w:sz w:val="22"/>
              </w:rPr>
              <w:t>. Please note that the 20 hour limitation is per week and cannot be averaged over any other period</w:t>
            </w:r>
            <w:r w:rsidRPr="007F4D50">
              <w:rPr>
                <w:rFonts w:asciiTheme="minorHAnsi" w:hAnsiTheme="minorHAnsi"/>
                <w:sz w:val="22"/>
              </w:rPr>
              <w:t>.</w:t>
            </w:r>
            <w:r w:rsidR="7130511C" w:rsidRPr="007F4D50">
              <w:rPr>
                <w:rFonts w:asciiTheme="minorHAnsi" w:hAnsiTheme="minorHAnsi"/>
                <w:sz w:val="22"/>
              </w:rPr>
              <w:t xml:space="preserve"> The Staff Immigration Team perform a monthly audit so it is imperative that Schools/Sections keep accurate records of hours worked and that these</w:t>
            </w:r>
            <w:r w:rsidR="03F7425D" w:rsidRPr="007F4D50">
              <w:rPr>
                <w:rFonts w:asciiTheme="minorHAnsi" w:hAnsiTheme="minorHAnsi"/>
                <w:sz w:val="22"/>
              </w:rPr>
              <w:t xml:space="preserve"> do not breach visa </w:t>
            </w:r>
            <w:r w:rsidR="00F652B8" w:rsidRPr="007F4D50">
              <w:rPr>
                <w:rFonts w:asciiTheme="minorHAnsi" w:hAnsiTheme="minorHAnsi"/>
                <w:sz w:val="22"/>
              </w:rPr>
              <w:t>restrictions</w:t>
            </w:r>
            <w:r w:rsidR="007F4D50" w:rsidRPr="007F4D50">
              <w:rPr>
                <w:rFonts w:asciiTheme="minorHAnsi" w:hAnsiTheme="minorHAnsi"/>
                <w:sz w:val="22"/>
              </w:rPr>
              <w:t>.</w:t>
            </w:r>
          </w:p>
        </w:tc>
      </w:tr>
    </w:tbl>
    <w:p w14:paraId="79624FDF" w14:textId="77777777" w:rsidR="003E55D5" w:rsidRPr="00436021" w:rsidRDefault="003E55D5" w:rsidP="003E55D5">
      <w:pPr>
        <w:rPr>
          <w:rFonts w:asciiTheme="minorHAnsi" w:hAnsiTheme="minorHAnsi" w:cstheme="minorHAnsi"/>
          <w:sz w:val="22"/>
        </w:rPr>
      </w:pPr>
    </w:p>
    <w:p w14:paraId="4B9F03FD" w14:textId="77777777" w:rsidR="003E55D5" w:rsidRDefault="003E55D5" w:rsidP="003E55D5">
      <w:pPr>
        <w:pStyle w:val="Heading2"/>
      </w:pPr>
      <w:bookmarkStart w:id="14" w:name="_Toc177982926"/>
      <w:r w:rsidRPr="00436021">
        <w:rPr>
          <w:szCs w:val="22"/>
        </w:rPr>
        <w:t>Workflow</w:t>
      </w:r>
      <w:r>
        <w:t xml:space="preserve"> Approval</w:t>
      </w:r>
      <w:bookmarkEnd w:id="14"/>
      <w:r w:rsidRPr="00436021">
        <w:rPr>
          <w:szCs w:val="22"/>
        </w:rPr>
        <w:t xml:space="preserve"> </w:t>
      </w:r>
    </w:p>
    <w:p w14:paraId="61DA68F3" w14:textId="43AA96BC" w:rsidR="00A43C67" w:rsidRDefault="3683FC86" w:rsidP="78DE4EE1">
      <w:pPr>
        <w:rPr>
          <w:rFonts w:asciiTheme="minorHAnsi" w:hAnsiTheme="minorHAnsi"/>
          <w:sz w:val="22"/>
        </w:rPr>
      </w:pPr>
      <w:r w:rsidRPr="78DE4EE1">
        <w:rPr>
          <w:rFonts w:asciiTheme="minorHAnsi" w:hAnsiTheme="minorHAnsi"/>
          <w:sz w:val="22"/>
        </w:rPr>
        <w:t xml:space="preserve">Once submitted by the individual, the </w:t>
      </w:r>
      <w:r w:rsidR="5BF200AA" w:rsidRPr="00F652B8">
        <w:rPr>
          <w:rFonts w:asciiTheme="minorHAnsi" w:hAnsiTheme="minorHAnsi"/>
          <w:sz w:val="22"/>
        </w:rPr>
        <w:t xml:space="preserve">fee </w:t>
      </w:r>
      <w:r w:rsidRPr="78DE4EE1">
        <w:rPr>
          <w:rFonts w:asciiTheme="minorHAnsi" w:hAnsiTheme="minorHAnsi"/>
          <w:sz w:val="22"/>
        </w:rPr>
        <w:t>claim form will workflow to the relevant School</w:t>
      </w:r>
      <w:r w:rsidR="00CB5F67">
        <w:rPr>
          <w:rFonts w:asciiTheme="minorHAnsi" w:hAnsiTheme="minorHAnsi"/>
          <w:sz w:val="22"/>
        </w:rPr>
        <w:t xml:space="preserve"> </w:t>
      </w:r>
      <w:r w:rsidRPr="78DE4EE1">
        <w:rPr>
          <w:rFonts w:asciiTheme="minorHAnsi" w:hAnsiTheme="minorHAnsi"/>
          <w:sz w:val="22"/>
        </w:rPr>
        <w:t>/</w:t>
      </w:r>
      <w:r w:rsidR="00CB5F67">
        <w:rPr>
          <w:rFonts w:asciiTheme="minorHAnsi" w:hAnsiTheme="minorHAnsi"/>
          <w:sz w:val="22"/>
        </w:rPr>
        <w:t xml:space="preserve"> </w:t>
      </w:r>
      <w:r w:rsidRPr="78DE4EE1">
        <w:rPr>
          <w:rFonts w:asciiTheme="minorHAnsi" w:hAnsiTheme="minorHAnsi"/>
          <w:sz w:val="22"/>
        </w:rPr>
        <w:t>Section manager and TSR Approver (where there is one) for approval.  The School</w:t>
      </w:r>
      <w:r w:rsidR="00CB5F67">
        <w:rPr>
          <w:rFonts w:asciiTheme="minorHAnsi" w:hAnsiTheme="minorHAnsi"/>
          <w:sz w:val="22"/>
        </w:rPr>
        <w:t xml:space="preserve"> </w:t>
      </w:r>
      <w:r w:rsidRPr="78DE4EE1">
        <w:rPr>
          <w:rFonts w:asciiTheme="minorHAnsi" w:hAnsiTheme="minorHAnsi"/>
          <w:sz w:val="22"/>
        </w:rPr>
        <w:t>/</w:t>
      </w:r>
      <w:r w:rsidR="00CB5F67">
        <w:rPr>
          <w:rFonts w:asciiTheme="minorHAnsi" w:hAnsiTheme="minorHAnsi"/>
          <w:sz w:val="22"/>
        </w:rPr>
        <w:t xml:space="preserve"> </w:t>
      </w:r>
      <w:r w:rsidRPr="78DE4EE1">
        <w:rPr>
          <w:rFonts w:asciiTheme="minorHAnsi" w:hAnsiTheme="minorHAnsi"/>
          <w:sz w:val="22"/>
        </w:rPr>
        <w:t xml:space="preserve">Section Manager or TSR </w:t>
      </w:r>
      <w:r w:rsidRPr="78DE4EE1">
        <w:rPr>
          <w:rFonts w:asciiTheme="minorHAnsi" w:hAnsiTheme="minorHAnsi"/>
          <w:sz w:val="22"/>
        </w:rPr>
        <w:lastRenderedPageBreak/>
        <w:t>Approver is required to complete the second tab.</w:t>
      </w:r>
      <w:r w:rsidR="080AAD50" w:rsidRPr="78DE4EE1">
        <w:rPr>
          <w:rFonts w:asciiTheme="minorHAnsi" w:hAnsiTheme="minorHAnsi"/>
          <w:sz w:val="22"/>
        </w:rPr>
        <w:t xml:space="preserve"> Full details on how to </w:t>
      </w:r>
      <w:r w:rsidR="65758735" w:rsidRPr="78DE4EE1">
        <w:rPr>
          <w:rFonts w:asciiTheme="minorHAnsi" w:hAnsiTheme="minorHAnsi"/>
          <w:sz w:val="22"/>
        </w:rPr>
        <w:t>approve claims</w:t>
      </w:r>
      <w:r w:rsidR="080AAD50" w:rsidRPr="78DE4EE1">
        <w:rPr>
          <w:rFonts w:asciiTheme="minorHAnsi" w:hAnsiTheme="minorHAnsi"/>
          <w:sz w:val="22"/>
        </w:rPr>
        <w:t xml:space="preserve"> are set out on the </w:t>
      </w:r>
      <w:hyperlink r:id="rId23" w:anchor="approving-a-tsr-hpt-claim-(school-manager-or-delegate):~:text=Approving%20a%20TSR/HPT%20claim%20(School%20Manager%20or%20delegate)">
        <w:r w:rsidR="080AAD50" w:rsidRPr="78DE4EE1">
          <w:rPr>
            <w:rStyle w:val="Hyperlink"/>
            <w:rFonts w:asciiTheme="minorHAnsi" w:hAnsiTheme="minorHAnsi"/>
            <w:sz w:val="22"/>
          </w:rPr>
          <w:t>MyERP Support SharePoint site</w:t>
        </w:r>
      </w:hyperlink>
      <w:r w:rsidR="080AAD50" w:rsidRPr="78DE4EE1">
        <w:rPr>
          <w:rFonts w:asciiTheme="minorHAnsi" w:hAnsiTheme="minorHAnsi"/>
          <w:sz w:val="22"/>
        </w:rPr>
        <w:t>.</w:t>
      </w:r>
    </w:p>
    <w:p w14:paraId="08D8FB33" w14:textId="2382894F" w:rsidR="003E55D5" w:rsidRDefault="003E55D5" w:rsidP="003E55D5">
      <w:pPr>
        <w:rPr>
          <w:rFonts w:asciiTheme="minorHAnsi" w:hAnsiTheme="minorHAnsi" w:cstheme="minorHAnsi"/>
          <w:sz w:val="22"/>
        </w:rPr>
      </w:pPr>
      <w:r w:rsidRPr="00436021">
        <w:rPr>
          <w:rFonts w:asciiTheme="minorHAnsi" w:hAnsiTheme="minorHAnsi" w:cstheme="minorHAnsi"/>
          <w:sz w:val="22"/>
        </w:rPr>
        <w:t xml:space="preserve">The person approving the claim may need to liaise with other parties (off-system) to confirm that the work was carried out before authorising a claim. </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3"/>
        <w:gridCol w:w="8235"/>
      </w:tblGrid>
      <w:tr w:rsidR="003E55D5" w:rsidRPr="00436021" w14:paraId="450EB00A" w14:textId="77777777">
        <w:trPr>
          <w:trHeight w:val="610"/>
        </w:trPr>
        <w:tc>
          <w:tcPr>
            <w:tcW w:w="434" w:type="pct"/>
            <w:vAlign w:val="center"/>
          </w:tcPr>
          <w:p w14:paraId="07298D9A" w14:textId="77777777" w:rsidR="003E55D5" w:rsidRPr="00436021" w:rsidRDefault="003E55D5">
            <w:pPr>
              <w:rPr>
                <w:rFonts w:asciiTheme="minorHAnsi" w:hAnsiTheme="minorHAnsi" w:cstheme="minorHAnsi"/>
                <w:sz w:val="22"/>
                <w:highlight w:val="lightGray"/>
              </w:rPr>
            </w:pPr>
            <w:r w:rsidRPr="00436021">
              <w:rPr>
                <w:rFonts w:asciiTheme="minorHAnsi" w:hAnsiTheme="minorHAnsi" w:cstheme="minorHAnsi"/>
                <w:noProof/>
                <w:sz w:val="22"/>
                <w:lang w:eastAsia="en-GB"/>
              </w:rPr>
              <w:drawing>
                <wp:inline distT="0" distB="0" distL="0" distR="0" wp14:anchorId="745FE8C3" wp14:editId="1E717EDF">
                  <wp:extent cx="307592" cy="315283"/>
                  <wp:effectExtent l="0" t="0" r="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NOTE_SMALL.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12271" cy="320079"/>
                          </a:xfrm>
                          <a:prstGeom prst="rect">
                            <a:avLst/>
                          </a:prstGeom>
                        </pic:spPr>
                      </pic:pic>
                    </a:graphicData>
                  </a:graphic>
                </wp:inline>
              </w:drawing>
            </w:r>
          </w:p>
        </w:tc>
        <w:tc>
          <w:tcPr>
            <w:tcW w:w="4566" w:type="pct"/>
            <w:vAlign w:val="center"/>
          </w:tcPr>
          <w:p w14:paraId="64536EE8" w14:textId="6D3512AF" w:rsidR="003E55D5" w:rsidRDefault="003E55D5">
            <w:pPr>
              <w:rPr>
                <w:rFonts w:asciiTheme="minorHAnsi" w:hAnsiTheme="minorHAnsi" w:cstheme="minorHAnsi"/>
                <w:sz w:val="22"/>
              </w:rPr>
            </w:pPr>
            <w:r>
              <w:rPr>
                <w:rFonts w:asciiTheme="minorHAnsi" w:hAnsiTheme="minorHAnsi" w:cstheme="minorHAnsi"/>
                <w:sz w:val="22"/>
              </w:rPr>
              <w:t>An additional</w:t>
            </w:r>
            <w:r w:rsidRPr="00436021">
              <w:rPr>
                <w:rFonts w:asciiTheme="minorHAnsi" w:hAnsiTheme="minorHAnsi" w:cstheme="minorHAnsi"/>
                <w:sz w:val="22"/>
              </w:rPr>
              <w:t xml:space="preserve"> </w:t>
            </w:r>
            <w:r>
              <w:rPr>
                <w:rFonts w:asciiTheme="minorHAnsi" w:hAnsiTheme="minorHAnsi" w:cstheme="minorHAnsi"/>
                <w:sz w:val="22"/>
              </w:rPr>
              <w:t>“TSR</w:t>
            </w:r>
            <w:r w:rsidRPr="00436021">
              <w:rPr>
                <w:rFonts w:asciiTheme="minorHAnsi" w:hAnsiTheme="minorHAnsi" w:cstheme="minorHAnsi"/>
                <w:sz w:val="22"/>
              </w:rPr>
              <w:t xml:space="preserve"> Approver</w:t>
            </w:r>
            <w:r>
              <w:rPr>
                <w:rFonts w:asciiTheme="minorHAnsi" w:hAnsiTheme="minorHAnsi" w:cstheme="minorHAnsi"/>
                <w:sz w:val="22"/>
              </w:rPr>
              <w:t>”</w:t>
            </w:r>
            <w:r w:rsidRPr="00436021">
              <w:rPr>
                <w:rFonts w:asciiTheme="minorHAnsi" w:hAnsiTheme="minorHAnsi" w:cstheme="minorHAnsi"/>
                <w:sz w:val="22"/>
              </w:rPr>
              <w:t xml:space="preserve"> may exist where the School/Section has identified an individual other than the School</w:t>
            </w:r>
            <w:r w:rsidR="00CB5F67">
              <w:rPr>
                <w:rFonts w:asciiTheme="minorHAnsi" w:hAnsiTheme="minorHAnsi" w:cstheme="minorHAnsi"/>
                <w:sz w:val="22"/>
              </w:rPr>
              <w:t xml:space="preserve"> </w:t>
            </w:r>
            <w:r w:rsidRPr="00436021">
              <w:rPr>
                <w:rFonts w:asciiTheme="minorHAnsi" w:hAnsiTheme="minorHAnsi" w:cstheme="minorHAnsi"/>
                <w:sz w:val="22"/>
              </w:rPr>
              <w:t>/</w:t>
            </w:r>
            <w:r w:rsidR="00CB5F67">
              <w:rPr>
                <w:rFonts w:asciiTheme="minorHAnsi" w:hAnsiTheme="minorHAnsi" w:cstheme="minorHAnsi"/>
                <w:sz w:val="22"/>
              </w:rPr>
              <w:t xml:space="preserve"> </w:t>
            </w:r>
            <w:r w:rsidRPr="00436021">
              <w:rPr>
                <w:rFonts w:asciiTheme="minorHAnsi" w:hAnsiTheme="minorHAnsi" w:cstheme="minorHAnsi"/>
                <w:sz w:val="22"/>
              </w:rPr>
              <w:t>Section Manager who needs to be involved in signing off claim forms.  Workflow</w:t>
            </w:r>
            <w:r>
              <w:rPr>
                <w:rFonts w:asciiTheme="minorHAnsi" w:hAnsiTheme="minorHAnsi" w:cstheme="minorHAnsi"/>
                <w:sz w:val="22"/>
              </w:rPr>
              <w:t xml:space="preserve"> task</w:t>
            </w:r>
            <w:r w:rsidRPr="00436021">
              <w:rPr>
                <w:rFonts w:asciiTheme="minorHAnsi" w:hAnsiTheme="minorHAnsi" w:cstheme="minorHAnsi"/>
                <w:sz w:val="22"/>
              </w:rPr>
              <w:t>s go to both School</w:t>
            </w:r>
            <w:r w:rsidR="00CB5F67">
              <w:rPr>
                <w:rFonts w:asciiTheme="minorHAnsi" w:hAnsiTheme="minorHAnsi" w:cstheme="minorHAnsi"/>
                <w:sz w:val="22"/>
              </w:rPr>
              <w:t xml:space="preserve"> </w:t>
            </w:r>
            <w:r w:rsidRPr="00436021">
              <w:rPr>
                <w:rFonts w:asciiTheme="minorHAnsi" w:hAnsiTheme="minorHAnsi" w:cstheme="minorHAnsi"/>
                <w:sz w:val="22"/>
              </w:rPr>
              <w:t>/</w:t>
            </w:r>
            <w:r w:rsidR="00CB5F67">
              <w:rPr>
                <w:rFonts w:asciiTheme="minorHAnsi" w:hAnsiTheme="minorHAnsi" w:cstheme="minorHAnsi"/>
                <w:sz w:val="22"/>
              </w:rPr>
              <w:t xml:space="preserve"> </w:t>
            </w:r>
            <w:r w:rsidRPr="00436021">
              <w:rPr>
                <w:rFonts w:asciiTheme="minorHAnsi" w:hAnsiTheme="minorHAnsi" w:cstheme="minorHAnsi"/>
                <w:sz w:val="22"/>
              </w:rPr>
              <w:t xml:space="preserve">Section Manager and </w:t>
            </w:r>
            <w:r>
              <w:rPr>
                <w:rFonts w:asciiTheme="minorHAnsi" w:hAnsiTheme="minorHAnsi" w:cstheme="minorHAnsi"/>
                <w:sz w:val="22"/>
              </w:rPr>
              <w:t>TSR</w:t>
            </w:r>
            <w:r w:rsidRPr="00436021">
              <w:rPr>
                <w:rFonts w:asciiTheme="minorHAnsi" w:hAnsiTheme="minorHAnsi" w:cstheme="minorHAnsi"/>
                <w:sz w:val="22"/>
              </w:rPr>
              <w:t xml:space="preserve"> </w:t>
            </w:r>
            <w:r>
              <w:rPr>
                <w:rFonts w:asciiTheme="minorHAnsi" w:hAnsiTheme="minorHAnsi" w:cstheme="minorHAnsi"/>
                <w:sz w:val="22"/>
              </w:rPr>
              <w:t>A</w:t>
            </w:r>
            <w:r w:rsidRPr="00436021">
              <w:rPr>
                <w:rFonts w:asciiTheme="minorHAnsi" w:hAnsiTheme="minorHAnsi" w:cstheme="minorHAnsi"/>
                <w:sz w:val="22"/>
              </w:rPr>
              <w:t xml:space="preserve">pprover and disappear from each person’s task list as soon as </w:t>
            </w:r>
            <w:r>
              <w:rPr>
                <w:rFonts w:asciiTheme="minorHAnsi" w:hAnsiTheme="minorHAnsi" w:cstheme="minorHAnsi"/>
                <w:sz w:val="22"/>
              </w:rPr>
              <w:t>the item</w:t>
            </w:r>
            <w:r w:rsidRPr="00436021">
              <w:rPr>
                <w:rFonts w:asciiTheme="minorHAnsi" w:hAnsiTheme="minorHAnsi" w:cstheme="minorHAnsi"/>
                <w:sz w:val="22"/>
              </w:rPr>
              <w:t xml:space="preserve"> has been actioned.</w:t>
            </w:r>
          </w:p>
          <w:p w14:paraId="6029F7A7" w14:textId="4A8935F8" w:rsidR="0053504F" w:rsidRPr="00436021" w:rsidRDefault="0053504F">
            <w:pPr>
              <w:rPr>
                <w:rFonts w:asciiTheme="minorHAnsi" w:hAnsiTheme="minorHAnsi" w:cstheme="minorHAnsi"/>
                <w:sz w:val="22"/>
              </w:rPr>
            </w:pPr>
            <w:r w:rsidRPr="00F652B8">
              <w:rPr>
                <w:rFonts w:asciiTheme="minorHAnsi" w:hAnsiTheme="minorHAnsi" w:cstheme="minorHAnsi"/>
                <w:sz w:val="22"/>
              </w:rPr>
              <w:t xml:space="preserve">To set up a new or remove a current “TSR Approver” School Managers will need to contact the </w:t>
            </w:r>
            <w:hyperlink r:id="rId25" w:history="1">
              <w:r w:rsidRPr="00F652B8">
                <w:rPr>
                  <w:rStyle w:val="Hyperlink"/>
                  <w:rFonts w:asciiTheme="minorHAnsi" w:hAnsiTheme="minorHAnsi" w:cstheme="minorHAnsi"/>
                  <w:sz w:val="22"/>
                </w:rPr>
                <w:t>Finance and HR Systems Team</w:t>
              </w:r>
            </w:hyperlink>
            <w:r w:rsidRPr="00F652B8">
              <w:rPr>
                <w:rFonts w:asciiTheme="minorHAnsi" w:hAnsiTheme="minorHAnsi" w:cstheme="minorHAnsi"/>
                <w:sz w:val="22"/>
              </w:rPr>
              <w:t>.</w:t>
            </w:r>
          </w:p>
        </w:tc>
      </w:tr>
    </w:tbl>
    <w:p w14:paraId="5F843876" w14:textId="77777777" w:rsidR="003E55D5" w:rsidRPr="00436021" w:rsidRDefault="003E55D5" w:rsidP="003E55D5">
      <w:pPr>
        <w:rPr>
          <w:rFonts w:asciiTheme="minorHAnsi" w:hAnsiTheme="minorHAnsi" w:cstheme="minorHAnsi"/>
          <w:sz w:val="22"/>
        </w:rPr>
      </w:pPr>
    </w:p>
    <w:p w14:paraId="6E76F5FC" w14:textId="77777777" w:rsidR="003E55D5" w:rsidRPr="00436021" w:rsidRDefault="003E55D5" w:rsidP="003E55D5">
      <w:pPr>
        <w:rPr>
          <w:rFonts w:asciiTheme="minorHAnsi" w:hAnsiTheme="minorHAnsi" w:cstheme="minorHAnsi"/>
          <w:sz w:val="22"/>
        </w:rPr>
      </w:pPr>
    </w:p>
    <w:p w14:paraId="64C7ACB2" w14:textId="77777777" w:rsidR="003E55D5" w:rsidRPr="00436021" w:rsidRDefault="003E55D5" w:rsidP="003E55D5">
      <w:pPr>
        <w:pStyle w:val="Heading2"/>
      </w:pPr>
      <w:bookmarkStart w:id="15" w:name="_Toc177982927"/>
      <w:r w:rsidRPr="00436021">
        <w:t>Payment of Claims</w:t>
      </w:r>
      <w:bookmarkEnd w:id="15"/>
    </w:p>
    <w:p w14:paraId="5B391515" w14:textId="2787BAAF" w:rsidR="003E55D5" w:rsidRPr="00436021" w:rsidRDefault="3683FC86" w:rsidP="78DE4EE1">
      <w:pPr>
        <w:rPr>
          <w:rFonts w:asciiTheme="minorHAnsi" w:hAnsiTheme="minorHAnsi"/>
          <w:sz w:val="22"/>
        </w:rPr>
      </w:pPr>
      <w:r w:rsidRPr="00F652B8">
        <w:rPr>
          <w:rFonts w:asciiTheme="minorHAnsi" w:hAnsiTheme="minorHAnsi"/>
          <w:sz w:val="22"/>
        </w:rPr>
        <w:t>Once authorised by the School</w:t>
      </w:r>
      <w:r w:rsidR="00CB5F67">
        <w:rPr>
          <w:rFonts w:asciiTheme="minorHAnsi" w:hAnsiTheme="minorHAnsi"/>
          <w:sz w:val="22"/>
        </w:rPr>
        <w:t xml:space="preserve"> </w:t>
      </w:r>
      <w:r w:rsidRPr="00F652B8">
        <w:rPr>
          <w:rFonts w:asciiTheme="minorHAnsi" w:hAnsiTheme="minorHAnsi"/>
          <w:sz w:val="22"/>
        </w:rPr>
        <w:t>/</w:t>
      </w:r>
      <w:r w:rsidR="00CB5F67">
        <w:rPr>
          <w:rFonts w:asciiTheme="minorHAnsi" w:hAnsiTheme="minorHAnsi"/>
          <w:sz w:val="22"/>
        </w:rPr>
        <w:t xml:space="preserve"> </w:t>
      </w:r>
      <w:r w:rsidRPr="00F652B8">
        <w:rPr>
          <w:rFonts w:asciiTheme="minorHAnsi" w:hAnsiTheme="minorHAnsi"/>
          <w:sz w:val="22"/>
        </w:rPr>
        <w:t xml:space="preserve">Section Manager or TSR Approver, payment of the fee claim form is processed by Payroll in the </w:t>
      </w:r>
      <w:r w:rsidR="2CD302BC" w:rsidRPr="00F652B8">
        <w:rPr>
          <w:rFonts w:asciiTheme="minorHAnsi" w:hAnsiTheme="minorHAnsi"/>
          <w:sz w:val="22"/>
        </w:rPr>
        <w:t xml:space="preserve">next </w:t>
      </w:r>
      <w:r w:rsidRPr="00F652B8">
        <w:rPr>
          <w:rFonts w:asciiTheme="minorHAnsi" w:hAnsiTheme="minorHAnsi"/>
          <w:sz w:val="22"/>
        </w:rPr>
        <w:t xml:space="preserve">monthly payroll run and the individual </w:t>
      </w:r>
      <w:r w:rsidR="2CD302BC" w:rsidRPr="00F652B8">
        <w:rPr>
          <w:rFonts w:asciiTheme="minorHAnsi" w:hAnsiTheme="minorHAnsi"/>
          <w:sz w:val="22"/>
        </w:rPr>
        <w:t xml:space="preserve">will </w:t>
      </w:r>
      <w:r w:rsidRPr="00F652B8">
        <w:rPr>
          <w:rFonts w:asciiTheme="minorHAnsi" w:hAnsiTheme="minorHAnsi"/>
          <w:sz w:val="22"/>
        </w:rPr>
        <w:t>receive payment</w:t>
      </w:r>
      <w:r w:rsidR="2CD302BC" w:rsidRPr="00F652B8">
        <w:rPr>
          <w:rFonts w:asciiTheme="minorHAnsi" w:hAnsiTheme="minorHAnsi"/>
          <w:sz w:val="22"/>
        </w:rPr>
        <w:t xml:space="preserve"> </w:t>
      </w:r>
      <w:r w:rsidR="075D16D8" w:rsidRPr="00F652B8">
        <w:rPr>
          <w:rFonts w:asciiTheme="minorHAnsi" w:hAnsiTheme="minorHAnsi"/>
          <w:sz w:val="22"/>
        </w:rPr>
        <w:t>at the end of th</w:t>
      </w:r>
      <w:r w:rsidR="1E0E72B4" w:rsidRPr="00F652B8">
        <w:rPr>
          <w:rFonts w:asciiTheme="minorHAnsi" w:hAnsiTheme="minorHAnsi"/>
          <w:sz w:val="22"/>
        </w:rPr>
        <w:t>at</w:t>
      </w:r>
      <w:r w:rsidR="075D16D8" w:rsidRPr="00F652B8">
        <w:rPr>
          <w:rFonts w:asciiTheme="minorHAnsi" w:hAnsiTheme="minorHAnsi"/>
          <w:sz w:val="22"/>
        </w:rPr>
        <w:t xml:space="preserve"> month.</w:t>
      </w:r>
      <w:r w:rsidRPr="00F652B8">
        <w:rPr>
          <w:rFonts w:asciiTheme="minorHAnsi" w:hAnsiTheme="minorHAnsi"/>
          <w:sz w:val="22"/>
        </w:rPr>
        <w:t xml:space="preserve"> </w:t>
      </w:r>
      <w:r w:rsidR="4DCE6AA3" w:rsidRPr="00F652B8">
        <w:rPr>
          <w:rFonts w:asciiTheme="minorHAnsi" w:hAnsiTheme="minorHAnsi"/>
          <w:sz w:val="22"/>
        </w:rPr>
        <w:t>The TSR Processing Team are not involved with the payment process for TSRs so</w:t>
      </w:r>
      <w:r w:rsidR="2378B350" w:rsidRPr="00F652B8">
        <w:rPr>
          <w:rFonts w:asciiTheme="minorHAnsi" w:hAnsiTheme="minorHAnsi"/>
          <w:sz w:val="22"/>
        </w:rPr>
        <w:t xml:space="preserve"> TSRs should raise any queries regarding pay with their School</w:t>
      </w:r>
      <w:r w:rsidR="00CB5F67">
        <w:rPr>
          <w:rFonts w:asciiTheme="minorHAnsi" w:hAnsiTheme="minorHAnsi"/>
          <w:sz w:val="22"/>
        </w:rPr>
        <w:t xml:space="preserve"> </w:t>
      </w:r>
      <w:r w:rsidR="2378B350" w:rsidRPr="00F652B8">
        <w:rPr>
          <w:rFonts w:asciiTheme="minorHAnsi" w:hAnsiTheme="minorHAnsi"/>
          <w:sz w:val="22"/>
        </w:rPr>
        <w:t>/</w:t>
      </w:r>
      <w:r w:rsidR="00CB5F67">
        <w:rPr>
          <w:rFonts w:asciiTheme="minorHAnsi" w:hAnsiTheme="minorHAnsi"/>
          <w:sz w:val="22"/>
        </w:rPr>
        <w:t xml:space="preserve"> </w:t>
      </w:r>
      <w:r w:rsidR="2378B350" w:rsidRPr="00F652B8">
        <w:rPr>
          <w:rFonts w:asciiTheme="minorHAnsi" w:hAnsiTheme="minorHAnsi"/>
          <w:sz w:val="22"/>
        </w:rPr>
        <w:t>Section Manager or TSR Approver</w:t>
      </w:r>
      <w:r w:rsidR="72DF70FA" w:rsidRPr="00F652B8">
        <w:rPr>
          <w:rFonts w:asciiTheme="minorHAnsi" w:hAnsiTheme="minorHAnsi"/>
          <w:sz w:val="22"/>
        </w:rPr>
        <w:t xml:space="preserve"> who should then liaise directly with</w:t>
      </w:r>
      <w:r w:rsidR="4DCE6AA3" w:rsidRPr="00F652B8">
        <w:rPr>
          <w:rFonts w:asciiTheme="minorHAnsi" w:hAnsiTheme="minorHAnsi"/>
          <w:sz w:val="22"/>
        </w:rPr>
        <w:t xml:space="preserve"> the </w:t>
      </w:r>
      <w:hyperlink r:id="rId26" w:history="1">
        <w:r w:rsidR="4DCE6AA3" w:rsidRPr="00F6425A">
          <w:rPr>
            <w:rStyle w:val="Hyperlink"/>
            <w:rFonts w:asciiTheme="minorHAnsi" w:hAnsiTheme="minorHAnsi"/>
            <w:sz w:val="22"/>
          </w:rPr>
          <w:t>Payroll Team</w:t>
        </w:r>
      </w:hyperlink>
      <w:r w:rsidR="4DCE6AA3" w:rsidRPr="00F652B8">
        <w:rPr>
          <w:rFonts w:asciiTheme="minorHAnsi" w:hAnsiTheme="minorHAnsi"/>
          <w:sz w:val="22"/>
        </w:rPr>
        <w:t>.</w:t>
      </w:r>
    </w:p>
    <w:p w14:paraId="43E6560B" w14:textId="242ECDED" w:rsidR="003E55D5" w:rsidRPr="00EE107C" w:rsidRDefault="00916776" w:rsidP="003E55D5">
      <w:pPr>
        <w:rPr>
          <w:rFonts w:asciiTheme="minorHAnsi" w:hAnsiTheme="minorHAnsi" w:cstheme="minorHAnsi"/>
          <w:color w:val="ED7D31" w:themeColor="accent2"/>
          <w:sz w:val="22"/>
        </w:rPr>
      </w:pPr>
      <w:r w:rsidRPr="00270B01">
        <w:rPr>
          <w:rFonts w:asciiTheme="minorHAnsi" w:hAnsiTheme="minorHAnsi" w:cstheme="minorHAnsi"/>
          <w:sz w:val="22"/>
        </w:rPr>
        <w:t>Teaching Support Staff are entitled to the equivalent of 5.6 weeks’ (28 days) annual holiday per year (pro rata depending on hours worked), including all bank holidays and University closure days.  Holiday entitlement will therefore accrue at the rate of 12.07% of the total hours actually worked.  To ensure individuals receive the benefit of their entitlement to rest and recuperate, they will be deemed to have taken annual leave at the end of each day they provide services to the University on a rolling basis as holiday entitlement is accrued.  Any payslips issued in respect of the days actually worked will clearly confirm holiday pay for the month in question.</w:t>
      </w:r>
    </w:p>
    <w:p w14:paraId="767FC267" w14:textId="62FFAD6E" w:rsidR="003E55D5" w:rsidRPr="00436021" w:rsidRDefault="3683FC86" w:rsidP="003E55D5">
      <w:pPr>
        <w:pStyle w:val="Heading1"/>
      </w:pPr>
      <w:bookmarkStart w:id="16" w:name="_Toc177982928"/>
      <w:r>
        <w:lastRenderedPageBreak/>
        <w:t>Contract Changes</w:t>
      </w:r>
      <w:bookmarkEnd w:id="16"/>
    </w:p>
    <w:p w14:paraId="1E51E487" w14:textId="77777777" w:rsidR="003E55D5" w:rsidRDefault="003E55D5" w:rsidP="003E55D5">
      <w:pPr>
        <w:rPr>
          <w:rFonts w:asciiTheme="minorHAnsi" w:hAnsiTheme="minorHAnsi" w:cstheme="minorHAnsi"/>
          <w:b/>
          <w:sz w:val="22"/>
        </w:rPr>
      </w:pPr>
    </w:p>
    <w:p w14:paraId="46B8D34D" w14:textId="77777777" w:rsidR="003E55D5" w:rsidRPr="00436021" w:rsidRDefault="003E55D5" w:rsidP="003E55D5">
      <w:pPr>
        <w:pStyle w:val="Heading2"/>
      </w:pPr>
      <w:bookmarkStart w:id="17" w:name="_Contract_Changes"/>
      <w:bookmarkStart w:id="18" w:name="_Toc177982929"/>
      <w:bookmarkEnd w:id="17"/>
      <w:r w:rsidRPr="00436021">
        <w:t>Contract Changes</w:t>
      </w:r>
      <w:bookmarkEnd w:id="18"/>
    </w:p>
    <w:p w14:paraId="3B8F1D05" w14:textId="041EAF7B" w:rsidR="003E55D5" w:rsidRPr="00270B01" w:rsidRDefault="003E55D5" w:rsidP="003E55D5">
      <w:pPr>
        <w:rPr>
          <w:rFonts w:asciiTheme="minorHAnsi" w:hAnsiTheme="minorHAnsi" w:cstheme="minorHAnsi"/>
          <w:sz w:val="22"/>
        </w:rPr>
      </w:pPr>
      <w:r w:rsidRPr="00270B01">
        <w:rPr>
          <w:rFonts w:asciiTheme="minorHAnsi" w:hAnsiTheme="minorHAnsi" w:cstheme="minorHAnsi"/>
          <w:sz w:val="22"/>
        </w:rPr>
        <w:t xml:space="preserve">Where there are </w:t>
      </w:r>
      <w:r w:rsidR="00F96477" w:rsidRPr="00270B01">
        <w:rPr>
          <w:rFonts w:asciiTheme="minorHAnsi" w:hAnsiTheme="minorHAnsi" w:cstheme="minorHAnsi"/>
          <w:sz w:val="22"/>
        </w:rPr>
        <w:t xml:space="preserve">significant </w:t>
      </w:r>
      <w:r w:rsidRPr="00270B01">
        <w:rPr>
          <w:rFonts w:asciiTheme="minorHAnsi" w:hAnsiTheme="minorHAnsi" w:cstheme="minorHAnsi"/>
          <w:sz w:val="22"/>
        </w:rPr>
        <w:t xml:space="preserve">changes made to an existing contract, the </w:t>
      </w:r>
      <w:r w:rsidR="002A30BC" w:rsidRPr="00270B01">
        <w:rPr>
          <w:rFonts w:asciiTheme="minorHAnsi" w:hAnsiTheme="minorHAnsi" w:cstheme="minorHAnsi"/>
          <w:sz w:val="22"/>
        </w:rPr>
        <w:t>TSR Processing Team</w:t>
      </w:r>
      <w:r w:rsidRPr="00270B01">
        <w:rPr>
          <w:rFonts w:asciiTheme="minorHAnsi" w:hAnsiTheme="minorHAnsi" w:cstheme="minorHAnsi"/>
          <w:sz w:val="22"/>
        </w:rPr>
        <w:t xml:space="preserve"> should be notified by the School</w:t>
      </w:r>
      <w:r w:rsidR="00487C11">
        <w:rPr>
          <w:rFonts w:asciiTheme="minorHAnsi" w:hAnsiTheme="minorHAnsi" w:cstheme="minorHAnsi"/>
          <w:sz w:val="22"/>
        </w:rPr>
        <w:t xml:space="preserve"> </w:t>
      </w:r>
      <w:r w:rsidRPr="00270B01">
        <w:rPr>
          <w:rFonts w:asciiTheme="minorHAnsi" w:hAnsiTheme="minorHAnsi" w:cstheme="minorHAnsi"/>
          <w:sz w:val="22"/>
        </w:rPr>
        <w:t>/</w:t>
      </w:r>
      <w:r w:rsidR="00487C11">
        <w:rPr>
          <w:rFonts w:asciiTheme="minorHAnsi" w:hAnsiTheme="minorHAnsi" w:cstheme="minorHAnsi"/>
          <w:sz w:val="22"/>
        </w:rPr>
        <w:t xml:space="preserve"> </w:t>
      </w:r>
      <w:r w:rsidRPr="00270B01">
        <w:rPr>
          <w:rFonts w:asciiTheme="minorHAnsi" w:hAnsiTheme="minorHAnsi" w:cstheme="minorHAnsi"/>
          <w:sz w:val="22"/>
        </w:rPr>
        <w:t xml:space="preserve">Section Manager or TSR Coordinator by </w:t>
      </w:r>
      <w:r w:rsidR="0004227B" w:rsidRPr="00270B01">
        <w:rPr>
          <w:rFonts w:asciiTheme="minorHAnsi" w:hAnsiTheme="minorHAnsi" w:cstheme="minorHAnsi"/>
          <w:sz w:val="22"/>
        </w:rPr>
        <w:t xml:space="preserve">uploading a new TSR Toolkit with the amended details, </w:t>
      </w:r>
      <w:r w:rsidR="00CE3179" w:rsidRPr="00270B01">
        <w:rPr>
          <w:rFonts w:asciiTheme="minorHAnsi" w:hAnsiTheme="minorHAnsi" w:cstheme="minorHAnsi"/>
          <w:sz w:val="22"/>
        </w:rPr>
        <w:t xml:space="preserve">approval </w:t>
      </w:r>
      <w:r w:rsidR="0004227B" w:rsidRPr="00270B01">
        <w:rPr>
          <w:rFonts w:asciiTheme="minorHAnsi" w:hAnsiTheme="minorHAnsi" w:cstheme="minorHAnsi"/>
          <w:sz w:val="22"/>
        </w:rPr>
        <w:t xml:space="preserve">will need to be </w:t>
      </w:r>
      <w:r w:rsidR="00CE3179" w:rsidRPr="00270B01">
        <w:rPr>
          <w:rFonts w:asciiTheme="minorHAnsi" w:hAnsiTheme="minorHAnsi" w:cstheme="minorHAnsi"/>
          <w:sz w:val="22"/>
        </w:rPr>
        <w:t xml:space="preserve">given by the HR Business </w:t>
      </w:r>
      <w:r w:rsidR="00E57DC7" w:rsidRPr="00270B01">
        <w:rPr>
          <w:rFonts w:asciiTheme="minorHAnsi" w:hAnsiTheme="minorHAnsi" w:cstheme="minorHAnsi"/>
          <w:sz w:val="22"/>
        </w:rPr>
        <w:t>Partnering Team</w:t>
      </w:r>
      <w:r w:rsidRPr="00270B01">
        <w:rPr>
          <w:rFonts w:asciiTheme="minorHAnsi" w:hAnsiTheme="minorHAnsi" w:cstheme="minorHAnsi"/>
          <w:sz w:val="22"/>
        </w:rPr>
        <w:t>.</w:t>
      </w:r>
    </w:p>
    <w:p w14:paraId="7C591FCE" w14:textId="6FAAD857" w:rsidR="003E55D5" w:rsidRPr="00270B01" w:rsidRDefault="3683FC86" w:rsidP="78DE4EE1">
      <w:pPr>
        <w:rPr>
          <w:rFonts w:asciiTheme="minorHAnsi" w:hAnsiTheme="minorHAnsi"/>
          <w:sz w:val="22"/>
        </w:rPr>
      </w:pPr>
      <w:r w:rsidRPr="00270B01">
        <w:rPr>
          <w:rFonts w:asciiTheme="minorHAnsi" w:hAnsiTheme="minorHAnsi"/>
          <w:sz w:val="22"/>
        </w:rPr>
        <w:t xml:space="preserve">Depending on the details of the change, a new contract may be issued – e.g. where there is a change to the </w:t>
      </w:r>
      <w:r w:rsidR="4788A53A" w:rsidRPr="00270B01">
        <w:rPr>
          <w:rFonts w:asciiTheme="minorHAnsi" w:hAnsiTheme="minorHAnsi"/>
          <w:sz w:val="22"/>
        </w:rPr>
        <w:t xml:space="preserve">contract dates, </w:t>
      </w:r>
      <w:r w:rsidRPr="00270B01">
        <w:rPr>
          <w:rFonts w:asciiTheme="minorHAnsi" w:hAnsiTheme="minorHAnsi"/>
          <w:sz w:val="22"/>
        </w:rPr>
        <w:t>rate of pay</w:t>
      </w:r>
      <w:r w:rsidR="4788A53A" w:rsidRPr="00270B01">
        <w:rPr>
          <w:rFonts w:asciiTheme="minorHAnsi" w:hAnsiTheme="minorHAnsi"/>
          <w:sz w:val="22"/>
        </w:rPr>
        <w:t>,</w:t>
      </w:r>
      <w:r w:rsidRPr="00270B01">
        <w:rPr>
          <w:rFonts w:asciiTheme="minorHAnsi" w:hAnsiTheme="minorHAnsi"/>
          <w:sz w:val="22"/>
        </w:rPr>
        <w:t xml:space="preserve"> or a significant change to the contracted hours</w:t>
      </w:r>
      <w:r w:rsidR="0B84717C" w:rsidRPr="00270B01">
        <w:rPr>
          <w:rFonts w:asciiTheme="minorHAnsi" w:hAnsiTheme="minorHAnsi"/>
          <w:sz w:val="22"/>
        </w:rPr>
        <w:t xml:space="preserve"> (50 additional hours or more)</w:t>
      </w:r>
      <w:r w:rsidRPr="00270B01">
        <w:rPr>
          <w:rFonts w:asciiTheme="minorHAnsi" w:hAnsiTheme="minorHAnsi"/>
          <w:sz w:val="22"/>
        </w:rPr>
        <w:t>.</w:t>
      </w:r>
    </w:p>
    <w:p w14:paraId="1A53E8B8" w14:textId="6A899AA5" w:rsidR="003E55D5" w:rsidRPr="00270B01" w:rsidRDefault="02715355" w:rsidP="00270B01">
      <w:pPr>
        <w:pStyle w:val="Heading3"/>
      </w:pPr>
      <w:bookmarkStart w:id="19" w:name="_Toc177982930"/>
      <w:r w:rsidRPr="00270B01">
        <w:t>Changes to Hours</w:t>
      </w:r>
      <w:bookmarkEnd w:id="19"/>
    </w:p>
    <w:p w14:paraId="0B4B12F0" w14:textId="4B5C3D94" w:rsidR="003E55D5" w:rsidRDefault="3683FC86" w:rsidP="78DE4EE1">
      <w:pPr>
        <w:rPr>
          <w:rFonts w:asciiTheme="minorHAnsi" w:hAnsiTheme="minorHAnsi"/>
          <w:strike/>
          <w:sz w:val="22"/>
        </w:rPr>
      </w:pPr>
      <w:r w:rsidRPr="78DE4EE1">
        <w:rPr>
          <w:rFonts w:asciiTheme="minorHAnsi" w:hAnsiTheme="minorHAnsi"/>
          <w:sz w:val="22"/>
        </w:rPr>
        <w:t xml:space="preserve">As a </w:t>
      </w:r>
      <w:r w:rsidRPr="00270B01">
        <w:rPr>
          <w:rFonts w:asciiTheme="minorHAnsi" w:hAnsiTheme="minorHAnsi"/>
          <w:sz w:val="22"/>
        </w:rPr>
        <w:t xml:space="preserve">general rule, </w:t>
      </w:r>
      <w:r w:rsidR="51FCFCB4" w:rsidRPr="00270B01">
        <w:rPr>
          <w:rFonts w:asciiTheme="minorHAnsi" w:hAnsiTheme="minorHAnsi"/>
          <w:sz w:val="22"/>
        </w:rPr>
        <w:t>if the only changes to a current TSR contract are</w:t>
      </w:r>
      <w:r w:rsidR="47A6A6B5" w:rsidRPr="00270B01">
        <w:rPr>
          <w:rFonts w:asciiTheme="minorHAnsi" w:hAnsiTheme="minorHAnsi"/>
          <w:sz w:val="22"/>
        </w:rPr>
        <w:t xml:space="preserve"> </w:t>
      </w:r>
      <w:r w:rsidRPr="00270B01">
        <w:rPr>
          <w:rFonts w:asciiTheme="minorHAnsi" w:hAnsiTheme="minorHAnsi"/>
          <w:sz w:val="22"/>
        </w:rPr>
        <w:t xml:space="preserve">additional hours </w:t>
      </w:r>
      <w:r w:rsidR="18A2B456" w:rsidRPr="00270B01">
        <w:rPr>
          <w:rFonts w:asciiTheme="minorHAnsi" w:hAnsiTheme="minorHAnsi"/>
          <w:sz w:val="22"/>
        </w:rPr>
        <w:t>the</w:t>
      </w:r>
      <w:r w:rsidR="55A392C9" w:rsidRPr="00270B01">
        <w:rPr>
          <w:rFonts w:asciiTheme="minorHAnsi" w:hAnsiTheme="minorHAnsi"/>
          <w:sz w:val="22"/>
        </w:rPr>
        <w:t xml:space="preserve"> following principles will apply</w:t>
      </w:r>
      <w:r w:rsidRPr="00270B01">
        <w:rPr>
          <w:rFonts w:asciiTheme="minorHAnsi" w:hAnsiTheme="minorHAnsi"/>
          <w:sz w:val="22"/>
        </w:rPr>
        <w:t>:</w:t>
      </w:r>
    </w:p>
    <w:p w14:paraId="5A22412D" w14:textId="05F409A4" w:rsidR="003E55D5" w:rsidRPr="00FF4438" w:rsidRDefault="72F04139" w:rsidP="78DE4EE1">
      <w:pPr>
        <w:numPr>
          <w:ilvl w:val="0"/>
          <w:numId w:val="5"/>
        </w:numPr>
        <w:rPr>
          <w:rFonts w:ascii="Calibri" w:hAnsi="Calibri" w:cs="Calibri"/>
          <w:sz w:val="22"/>
        </w:rPr>
      </w:pPr>
      <w:r w:rsidRPr="78DE4EE1">
        <w:rPr>
          <w:rFonts w:ascii="Calibri" w:hAnsi="Calibri" w:cs="Calibri"/>
          <w:b/>
          <w:bCs/>
          <w:sz w:val="22"/>
        </w:rPr>
        <w:t>A</w:t>
      </w:r>
      <w:r w:rsidR="3683FC86" w:rsidRPr="78DE4EE1">
        <w:rPr>
          <w:rFonts w:ascii="Calibri" w:hAnsi="Calibri" w:cs="Calibri"/>
          <w:b/>
          <w:bCs/>
          <w:sz w:val="22"/>
        </w:rPr>
        <w:t>d hoc changes</w:t>
      </w:r>
      <w:r w:rsidR="3683FC86" w:rsidRPr="00270B01">
        <w:rPr>
          <w:rFonts w:ascii="Calibri" w:hAnsi="Calibri" w:cs="Calibri"/>
          <w:b/>
          <w:bCs/>
          <w:sz w:val="22"/>
        </w:rPr>
        <w:t xml:space="preserve"> </w:t>
      </w:r>
      <w:r w:rsidR="5BC8646E" w:rsidRPr="00270B01">
        <w:rPr>
          <w:rFonts w:ascii="Calibri" w:hAnsi="Calibri" w:cs="Calibri"/>
          <w:b/>
          <w:bCs/>
          <w:sz w:val="22"/>
        </w:rPr>
        <w:t xml:space="preserve">up to 49 hours </w:t>
      </w:r>
      <w:r w:rsidR="3683FC86" w:rsidRPr="78DE4EE1">
        <w:rPr>
          <w:rFonts w:ascii="Calibri" w:hAnsi="Calibri" w:cs="Calibri"/>
          <w:sz w:val="22"/>
        </w:rPr>
        <w:t xml:space="preserve">– where the change is unplanned and ad hoc (e.g. a small number of additional hours appended to the original contract) a new contract will not need to be issued. The individual should claim the additional hours when submitting their normal </w:t>
      </w:r>
      <w:r w:rsidR="3683FC86" w:rsidRPr="00270B01">
        <w:rPr>
          <w:rFonts w:ascii="Calibri" w:hAnsi="Calibri" w:cs="Calibri"/>
          <w:sz w:val="22"/>
        </w:rPr>
        <w:t xml:space="preserve">monthly claim form. The contract makes some provision for variation of hours, so </w:t>
      </w:r>
      <w:r w:rsidR="38A60328" w:rsidRPr="00270B01">
        <w:rPr>
          <w:rFonts w:ascii="Calibri" w:hAnsi="Calibri" w:cs="Calibri"/>
          <w:sz w:val="22"/>
        </w:rPr>
        <w:t xml:space="preserve">The TSR Processing Team </w:t>
      </w:r>
      <w:r w:rsidR="3683FC86" w:rsidRPr="00270B01">
        <w:rPr>
          <w:rFonts w:ascii="Calibri" w:hAnsi="Calibri" w:cs="Calibri"/>
          <w:sz w:val="22"/>
        </w:rPr>
        <w:t xml:space="preserve">do not need to be notified for small variations. </w:t>
      </w:r>
    </w:p>
    <w:p w14:paraId="5D788659" w14:textId="3932C6A9" w:rsidR="00AC4489" w:rsidRPr="00AC4489" w:rsidRDefault="6CD2A692" w:rsidP="78DE4EE1">
      <w:pPr>
        <w:numPr>
          <w:ilvl w:val="0"/>
          <w:numId w:val="5"/>
        </w:numPr>
        <w:rPr>
          <w:rFonts w:asciiTheme="minorHAnsi" w:hAnsiTheme="minorHAnsi"/>
          <w:color w:val="ED7D31" w:themeColor="accent2"/>
          <w:sz w:val="22"/>
        </w:rPr>
      </w:pPr>
      <w:r w:rsidRPr="78DE4EE1">
        <w:rPr>
          <w:rFonts w:ascii="Calibri" w:hAnsi="Calibri" w:cs="Calibri"/>
          <w:b/>
          <w:bCs/>
          <w:sz w:val="22"/>
        </w:rPr>
        <w:t>P</w:t>
      </w:r>
      <w:r w:rsidR="3683FC86" w:rsidRPr="78DE4EE1">
        <w:rPr>
          <w:rFonts w:ascii="Calibri" w:hAnsi="Calibri" w:cs="Calibri"/>
          <w:b/>
          <w:bCs/>
          <w:sz w:val="22"/>
        </w:rPr>
        <w:t>lanned changes</w:t>
      </w:r>
      <w:r w:rsidR="3683FC86" w:rsidRPr="00270B01">
        <w:rPr>
          <w:rFonts w:ascii="Calibri" w:hAnsi="Calibri" w:cs="Calibri"/>
          <w:b/>
          <w:bCs/>
          <w:sz w:val="22"/>
        </w:rPr>
        <w:t xml:space="preserve"> </w:t>
      </w:r>
      <w:r w:rsidR="1C68C059" w:rsidRPr="00270B01">
        <w:rPr>
          <w:rFonts w:ascii="Calibri" w:hAnsi="Calibri" w:cs="Calibri"/>
          <w:b/>
          <w:bCs/>
          <w:sz w:val="22"/>
        </w:rPr>
        <w:t>for 50 hours and above</w:t>
      </w:r>
      <w:r w:rsidR="1C68C059" w:rsidRPr="78DE4EE1">
        <w:rPr>
          <w:rFonts w:ascii="Calibri" w:hAnsi="Calibri" w:cs="Calibri"/>
          <w:b/>
          <w:bCs/>
          <w:color w:val="FF0000"/>
          <w:sz w:val="22"/>
        </w:rPr>
        <w:t xml:space="preserve"> </w:t>
      </w:r>
      <w:r w:rsidR="3683FC86" w:rsidRPr="78DE4EE1">
        <w:rPr>
          <w:rFonts w:ascii="Calibri" w:hAnsi="Calibri" w:cs="Calibri"/>
          <w:sz w:val="22"/>
        </w:rPr>
        <w:t xml:space="preserve">– where the change is planned or longer term (e.g. </w:t>
      </w:r>
      <w:r w:rsidR="3683FC86" w:rsidRPr="00270B01">
        <w:rPr>
          <w:rFonts w:ascii="Calibri" w:hAnsi="Calibri" w:cs="Calibri"/>
          <w:sz w:val="22"/>
        </w:rPr>
        <w:t xml:space="preserve">the addition of a significant number of new hours as part of another teaching unit within the same department), </w:t>
      </w:r>
      <w:r w:rsidR="706AB141" w:rsidRPr="00270B01">
        <w:rPr>
          <w:rFonts w:ascii="Calibri" w:hAnsi="Calibri" w:cs="Calibri"/>
          <w:sz w:val="22"/>
        </w:rPr>
        <w:t xml:space="preserve">a new TSR Toolkit will need to </w:t>
      </w:r>
      <w:r w:rsidR="29FAA447" w:rsidRPr="00270B01">
        <w:rPr>
          <w:rFonts w:ascii="Calibri" w:hAnsi="Calibri" w:cs="Calibri"/>
          <w:sz w:val="22"/>
        </w:rPr>
        <w:t xml:space="preserve">be </w:t>
      </w:r>
      <w:r w:rsidR="706AB141" w:rsidRPr="00270B01">
        <w:rPr>
          <w:rFonts w:ascii="Calibri" w:hAnsi="Calibri" w:cs="Calibri"/>
          <w:sz w:val="22"/>
        </w:rPr>
        <w:t xml:space="preserve">uploaded detailing the changes </w:t>
      </w:r>
      <w:r w:rsidR="4BA1DF43" w:rsidRPr="00270B01">
        <w:rPr>
          <w:rFonts w:ascii="Calibri" w:hAnsi="Calibri" w:cs="Calibri"/>
          <w:sz w:val="22"/>
        </w:rPr>
        <w:t xml:space="preserve">so that </w:t>
      </w:r>
      <w:r w:rsidR="3683FC86" w:rsidRPr="00270B01">
        <w:rPr>
          <w:rFonts w:ascii="Calibri" w:hAnsi="Calibri" w:cs="Calibri"/>
          <w:sz w:val="22"/>
        </w:rPr>
        <w:t>an amended contract or letter to the individual confirming the new arrangements</w:t>
      </w:r>
      <w:r w:rsidR="4BA1DF43" w:rsidRPr="00270B01">
        <w:rPr>
          <w:rFonts w:ascii="Calibri" w:hAnsi="Calibri" w:cs="Calibri"/>
          <w:sz w:val="22"/>
        </w:rPr>
        <w:t xml:space="preserve"> can be issued</w:t>
      </w:r>
      <w:r w:rsidR="29FAA447" w:rsidRPr="00270B01">
        <w:rPr>
          <w:rFonts w:ascii="Calibri" w:hAnsi="Calibri" w:cs="Calibri"/>
          <w:sz w:val="22"/>
        </w:rPr>
        <w:t>.</w:t>
      </w:r>
    </w:p>
    <w:p w14:paraId="2108F270" w14:textId="67D467CA" w:rsidR="204FF990" w:rsidRDefault="204FF990" w:rsidP="00270B01">
      <w:pPr>
        <w:pStyle w:val="Heading3"/>
      </w:pPr>
      <w:bookmarkStart w:id="20" w:name="_Toc177982931"/>
      <w:r w:rsidRPr="78DE4EE1">
        <w:t xml:space="preserve">Other </w:t>
      </w:r>
      <w:r w:rsidR="1665D045" w:rsidRPr="78DE4EE1">
        <w:t>Working Arrangement Changes</w:t>
      </w:r>
      <w:bookmarkEnd w:id="20"/>
    </w:p>
    <w:p w14:paraId="6BC89860" w14:textId="32FCE0A9" w:rsidR="003E55D5" w:rsidRPr="00FF4438" w:rsidRDefault="3683FC86" w:rsidP="78DE4EE1">
      <w:pPr>
        <w:rPr>
          <w:rFonts w:asciiTheme="minorHAnsi" w:hAnsiTheme="minorHAnsi"/>
          <w:sz w:val="22"/>
        </w:rPr>
      </w:pPr>
      <w:r w:rsidRPr="78DE4EE1">
        <w:rPr>
          <w:rFonts w:asciiTheme="minorHAnsi" w:hAnsiTheme="minorHAnsi"/>
          <w:sz w:val="22"/>
        </w:rPr>
        <w:t xml:space="preserve">Where the department, type of work and/or rate of pay </w:t>
      </w:r>
      <w:r w:rsidR="05B1321C" w:rsidRPr="00270B01">
        <w:rPr>
          <w:rFonts w:asciiTheme="minorHAnsi" w:hAnsiTheme="minorHAnsi"/>
          <w:sz w:val="22"/>
        </w:rPr>
        <w:t xml:space="preserve">differs from the current TSR contract </w:t>
      </w:r>
      <w:r w:rsidR="02AF3CAC" w:rsidRPr="00270B01">
        <w:rPr>
          <w:rFonts w:asciiTheme="minorHAnsi" w:hAnsiTheme="minorHAnsi"/>
          <w:sz w:val="22"/>
        </w:rPr>
        <w:t xml:space="preserve">the following </w:t>
      </w:r>
      <w:r w:rsidR="5B3916FD" w:rsidRPr="00270B01">
        <w:rPr>
          <w:rFonts w:asciiTheme="minorHAnsi" w:hAnsiTheme="minorHAnsi"/>
          <w:sz w:val="22"/>
        </w:rPr>
        <w:t>contract routes are available</w:t>
      </w:r>
      <w:r w:rsidRPr="78DE4EE1">
        <w:rPr>
          <w:rFonts w:asciiTheme="minorHAnsi" w:hAnsiTheme="minorHAnsi"/>
          <w:sz w:val="22"/>
        </w:rPr>
        <w:t>:</w:t>
      </w:r>
    </w:p>
    <w:p w14:paraId="6D2FFF0A" w14:textId="06DE6CE9" w:rsidR="00D44910" w:rsidRPr="00864D97" w:rsidRDefault="00D44910" w:rsidP="00864D97">
      <w:pPr>
        <w:pStyle w:val="ListParagraph"/>
        <w:numPr>
          <w:ilvl w:val="0"/>
          <w:numId w:val="6"/>
        </w:numPr>
        <w:rPr>
          <w:rFonts w:asciiTheme="minorHAnsi" w:hAnsiTheme="minorHAnsi" w:cstheme="minorHAnsi"/>
          <w:sz w:val="22"/>
        </w:rPr>
      </w:pPr>
      <w:r w:rsidRPr="00864D97">
        <w:rPr>
          <w:rFonts w:asciiTheme="minorHAnsi" w:hAnsiTheme="minorHAnsi" w:cstheme="minorHAnsi"/>
          <w:b/>
          <w:sz w:val="22"/>
        </w:rPr>
        <w:t>Ad hoc (less than 4 weeks)</w:t>
      </w:r>
      <w:r w:rsidRPr="00864D97">
        <w:rPr>
          <w:rFonts w:asciiTheme="minorHAnsi" w:hAnsiTheme="minorHAnsi" w:cstheme="minorHAnsi"/>
          <w:sz w:val="22"/>
        </w:rPr>
        <w:t xml:space="preserve"> – where the change is unplanned and ad hoc (e.g. hours working as an exam invigilator) the School / Section Manager or TSR Coordinator should engage with the Temporary Staffing Service - </w:t>
      </w:r>
      <w:hyperlink r:id="rId27" w:history="1">
        <w:r w:rsidRPr="00864D97">
          <w:rPr>
            <w:rStyle w:val="Heading5Char"/>
            <w:rFonts w:asciiTheme="minorHAnsi" w:hAnsiTheme="minorHAnsi" w:cstheme="minorHAnsi"/>
            <w:sz w:val="22"/>
          </w:rPr>
          <w:t>Casual, Academic and Guest</w:t>
        </w:r>
      </w:hyperlink>
      <w:r w:rsidRPr="00864D97">
        <w:rPr>
          <w:rFonts w:asciiTheme="minorHAnsi" w:hAnsiTheme="minorHAnsi" w:cstheme="minorHAnsi"/>
          <w:sz w:val="22"/>
        </w:rPr>
        <w:t xml:space="preserve"> (CAG) </w:t>
      </w:r>
      <w:r w:rsidR="00487C11">
        <w:rPr>
          <w:rFonts w:asciiTheme="minorHAnsi" w:hAnsiTheme="minorHAnsi" w:cstheme="minorHAnsi"/>
          <w:sz w:val="22"/>
        </w:rPr>
        <w:t>T</w:t>
      </w:r>
      <w:r w:rsidRPr="00864D97">
        <w:rPr>
          <w:rFonts w:asciiTheme="minorHAnsi" w:hAnsiTheme="minorHAnsi" w:cstheme="minorHAnsi"/>
          <w:sz w:val="22"/>
        </w:rPr>
        <w:t>eam prior to the work commencing</w:t>
      </w:r>
      <w:r w:rsidR="00864D97">
        <w:rPr>
          <w:rFonts w:asciiTheme="minorHAnsi" w:hAnsiTheme="minorHAnsi" w:cstheme="minorHAnsi"/>
          <w:sz w:val="22"/>
        </w:rPr>
        <w:t>.</w:t>
      </w:r>
    </w:p>
    <w:p w14:paraId="2CA42687" w14:textId="630F6BCD" w:rsidR="3683FC86" w:rsidRDefault="3683FC86" w:rsidP="78DE4EE1">
      <w:pPr>
        <w:numPr>
          <w:ilvl w:val="0"/>
          <w:numId w:val="6"/>
        </w:numPr>
        <w:rPr>
          <w:rFonts w:asciiTheme="minorHAnsi" w:hAnsiTheme="minorHAnsi"/>
          <w:sz w:val="22"/>
        </w:rPr>
      </w:pPr>
      <w:r w:rsidRPr="78DE4EE1">
        <w:rPr>
          <w:rFonts w:asciiTheme="minorHAnsi" w:hAnsiTheme="minorHAnsi"/>
          <w:b/>
          <w:bCs/>
          <w:sz w:val="22"/>
        </w:rPr>
        <w:t>Longer term/planned</w:t>
      </w:r>
      <w:r w:rsidRPr="78DE4EE1">
        <w:rPr>
          <w:rFonts w:asciiTheme="minorHAnsi" w:hAnsiTheme="minorHAnsi"/>
          <w:sz w:val="22"/>
        </w:rPr>
        <w:t xml:space="preserve"> – where the change is planned or longer term (e.g. additional hours working </w:t>
      </w:r>
      <w:r w:rsidR="00B333DA" w:rsidRPr="78DE4EE1">
        <w:rPr>
          <w:rFonts w:asciiTheme="minorHAnsi" w:hAnsiTheme="minorHAnsi"/>
          <w:sz w:val="22"/>
        </w:rPr>
        <w:t>in a</w:t>
      </w:r>
      <w:r w:rsidRPr="78DE4EE1">
        <w:rPr>
          <w:rFonts w:asciiTheme="minorHAnsi" w:hAnsiTheme="minorHAnsi"/>
          <w:sz w:val="22"/>
        </w:rPr>
        <w:t xml:space="preserve"> different Teaching Support </w:t>
      </w:r>
      <w:r w:rsidR="00B333DA" w:rsidRPr="78DE4EE1">
        <w:rPr>
          <w:rFonts w:asciiTheme="minorHAnsi" w:hAnsiTheme="minorHAnsi"/>
          <w:sz w:val="22"/>
        </w:rPr>
        <w:t>role</w:t>
      </w:r>
      <w:r w:rsidRPr="78DE4EE1">
        <w:rPr>
          <w:rFonts w:asciiTheme="minorHAnsi" w:hAnsiTheme="minorHAnsi"/>
          <w:sz w:val="22"/>
        </w:rPr>
        <w:t xml:space="preserve"> in another department) the </w:t>
      </w:r>
      <w:r w:rsidR="6D3D2544" w:rsidRPr="78DE4EE1">
        <w:rPr>
          <w:rFonts w:asciiTheme="minorHAnsi" w:hAnsiTheme="minorHAnsi"/>
          <w:sz w:val="22"/>
        </w:rPr>
        <w:t>TSR Processing</w:t>
      </w:r>
      <w:r w:rsidR="624D856C" w:rsidRPr="78DE4EE1">
        <w:rPr>
          <w:rFonts w:asciiTheme="minorHAnsi" w:hAnsiTheme="minorHAnsi"/>
          <w:sz w:val="22"/>
        </w:rPr>
        <w:t xml:space="preserve"> </w:t>
      </w:r>
      <w:r w:rsidR="6D3D2544" w:rsidRPr="78DE4EE1">
        <w:rPr>
          <w:rFonts w:asciiTheme="minorHAnsi" w:hAnsiTheme="minorHAnsi"/>
          <w:sz w:val="22"/>
        </w:rPr>
        <w:t>Team</w:t>
      </w:r>
      <w:r w:rsidRPr="78DE4EE1">
        <w:rPr>
          <w:rFonts w:asciiTheme="minorHAnsi" w:hAnsiTheme="minorHAnsi"/>
          <w:sz w:val="22"/>
        </w:rPr>
        <w:t xml:space="preserve"> </w:t>
      </w:r>
      <w:r w:rsidR="4BA1DF43" w:rsidRPr="78DE4EE1">
        <w:rPr>
          <w:rFonts w:asciiTheme="minorHAnsi" w:hAnsiTheme="minorHAnsi"/>
          <w:sz w:val="22"/>
        </w:rPr>
        <w:t xml:space="preserve">must be notified </w:t>
      </w:r>
      <w:r w:rsidR="69C369DF" w:rsidRPr="78DE4EE1">
        <w:rPr>
          <w:rFonts w:asciiTheme="minorHAnsi" w:hAnsiTheme="minorHAnsi"/>
          <w:sz w:val="22"/>
        </w:rPr>
        <w:t xml:space="preserve">following the process described above </w:t>
      </w:r>
      <w:hyperlink w:anchor="_TSR_Annual_Review">
        <w:r w:rsidR="69C369DF" w:rsidRPr="78DE4EE1">
          <w:rPr>
            <w:rStyle w:val="Hyperlink"/>
            <w:rFonts w:asciiTheme="minorHAnsi" w:hAnsiTheme="minorHAnsi"/>
            <w:sz w:val="22"/>
          </w:rPr>
          <w:t>(section 2</w:t>
        </w:r>
        <w:r w:rsidR="00B333DA" w:rsidRPr="78DE4EE1">
          <w:rPr>
            <w:rStyle w:val="Hyperlink"/>
            <w:rFonts w:asciiTheme="minorHAnsi" w:hAnsiTheme="minorHAnsi"/>
            <w:sz w:val="22"/>
          </w:rPr>
          <w:t>.2-2.2.1</w:t>
        </w:r>
        <w:r w:rsidR="69C369DF" w:rsidRPr="78DE4EE1">
          <w:rPr>
            <w:rStyle w:val="Hyperlink"/>
            <w:rFonts w:asciiTheme="minorHAnsi" w:hAnsiTheme="minorHAnsi"/>
            <w:sz w:val="22"/>
          </w:rPr>
          <w:t>)</w:t>
        </w:r>
      </w:hyperlink>
      <w:r w:rsidR="69C369DF" w:rsidRPr="78DE4EE1">
        <w:rPr>
          <w:rFonts w:asciiTheme="minorHAnsi" w:hAnsiTheme="minorHAnsi"/>
          <w:sz w:val="22"/>
        </w:rPr>
        <w:t xml:space="preserve"> </w:t>
      </w:r>
      <w:r w:rsidR="4BA1DF43" w:rsidRPr="78DE4EE1">
        <w:rPr>
          <w:rFonts w:asciiTheme="minorHAnsi" w:hAnsiTheme="minorHAnsi"/>
          <w:sz w:val="22"/>
        </w:rPr>
        <w:t xml:space="preserve">as </w:t>
      </w:r>
      <w:r w:rsidR="00B333DA" w:rsidRPr="78DE4EE1">
        <w:rPr>
          <w:rFonts w:asciiTheme="minorHAnsi" w:hAnsiTheme="minorHAnsi"/>
          <w:sz w:val="22"/>
        </w:rPr>
        <w:t>a new contract will</w:t>
      </w:r>
      <w:r w:rsidRPr="78DE4EE1">
        <w:rPr>
          <w:rFonts w:asciiTheme="minorHAnsi" w:hAnsiTheme="minorHAnsi"/>
          <w:sz w:val="22"/>
        </w:rPr>
        <w:t xml:space="preserve"> </w:t>
      </w:r>
      <w:r w:rsidR="4BA1DF43" w:rsidRPr="78DE4EE1">
        <w:rPr>
          <w:rFonts w:asciiTheme="minorHAnsi" w:hAnsiTheme="minorHAnsi"/>
          <w:sz w:val="22"/>
        </w:rPr>
        <w:t xml:space="preserve">need to </w:t>
      </w:r>
      <w:r w:rsidR="00B333DA" w:rsidRPr="78DE4EE1">
        <w:rPr>
          <w:rFonts w:asciiTheme="minorHAnsi" w:hAnsiTheme="minorHAnsi"/>
          <w:sz w:val="22"/>
        </w:rPr>
        <w:t xml:space="preserve">be </w:t>
      </w:r>
      <w:r w:rsidRPr="78DE4EE1">
        <w:rPr>
          <w:rFonts w:asciiTheme="minorHAnsi" w:hAnsiTheme="minorHAnsi"/>
          <w:sz w:val="22"/>
        </w:rPr>
        <w:t>generate</w:t>
      </w:r>
      <w:r w:rsidR="00B333DA" w:rsidRPr="78DE4EE1">
        <w:rPr>
          <w:rFonts w:asciiTheme="minorHAnsi" w:hAnsiTheme="minorHAnsi"/>
          <w:sz w:val="22"/>
        </w:rPr>
        <w:t>d</w:t>
      </w:r>
      <w:r w:rsidRPr="78DE4EE1">
        <w:rPr>
          <w:rFonts w:asciiTheme="minorHAnsi" w:hAnsiTheme="minorHAnsi"/>
          <w:sz w:val="22"/>
        </w:rPr>
        <w:t xml:space="preserve"> for the work. </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3"/>
        <w:gridCol w:w="8235"/>
      </w:tblGrid>
      <w:tr w:rsidR="003E55D5" w:rsidRPr="00436021" w14:paraId="2C7F6964" w14:textId="77777777" w:rsidTr="78DE4EE1">
        <w:trPr>
          <w:trHeight w:val="610"/>
        </w:trPr>
        <w:tc>
          <w:tcPr>
            <w:tcW w:w="434" w:type="pct"/>
            <w:vAlign w:val="center"/>
          </w:tcPr>
          <w:p w14:paraId="2D100ACF" w14:textId="77777777" w:rsidR="003E55D5" w:rsidRPr="00436021" w:rsidRDefault="003E55D5">
            <w:pPr>
              <w:rPr>
                <w:rFonts w:asciiTheme="minorHAnsi" w:hAnsiTheme="minorHAnsi" w:cstheme="minorHAnsi"/>
                <w:sz w:val="22"/>
                <w:highlight w:val="lightGray"/>
              </w:rPr>
            </w:pPr>
            <w:r w:rsidRPr="00436021">
              <w:rPr>
                <w:rFonts w:asciiTheme="minorHAnsi" w:hAnsiTheme="minorHAnsi" w:cstheme="minorHAnsi"/>
                <w:noProof/>
                <w:sz w:val="22"/>
                <w:lang w:eastAsia="en-GB"/>
              </w:rPr>
              <w:drawing>
                <wp:inline distT="0" distB="0" distL="0" distR="0" wp14:anchorId="031CF893" wp14:editId="0978BE6D">
                  <wp:extent cx="323850" cy="32385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INFO_RED_SMALL.jpg"/>
                          <pic:cNvPicPr/>
                        </pic:nvPicPr>
                        <pic:blipFill>
                          <a:blip r:embed="rId21" cstate="print">
                            <a:extLst>
                              <a:ext uri="{28A0092B-C50C-407E-A947-70E740481C1C}">
                                <a14:useLocalDpi xmlns:a14="http://schemas.microsoft.com/office/drawing/2010/main" val="0"/>
                              </a:ext>
                            </a:extLst>
                          </a:blip>
                          <a:stretch>
                            <a:fillRect/>
                          </a:stretch>
                        </pic:blipFill>
                        <pic:spPr>
                          <a:xfrm rot="10800000">
                            <a:off x="0" y="0"/>
                            <a:ext cx="323850" cy="323850"/>
                          </a:xfrm>
                          <a:prstGeom prst="rect">
                            <a:avLst/>
                          </a:prstGeom>
                        </pic:spPr>
                      </pic:pic>
                    </a:graphicData>
                  </a:graphic>
                </wp:inline>
              </w:drawing>
            </w:r>
          </w:p>
        </w:tc>
        <w:tc>
          <w:tcPr>
            <w:tcW w:w="4566" w:type="pct"/>
            <w:vAlign w:val="center"/>
          </w:tcPr>
          <w:p w14:paraId="5B7B83E2" w14:textId="277B85DA" w:rsidR="003E55D5" w:rsidRPr="00436021" w:rsidRDefault="3683FC86" w:rsidP="78DE4EE1">
            <w:pPr>
              <w:rPr>
                <w:rFonts w:asciiTheme="minorHAnsi" w:hAnsiTheme="minorHAnsi"/>
                <w:sz w:val="22"/>
              </w:rPr>
            </w:pPr>
            <w:r w:rsidRPr="78DE4EE1">
              <w:rPr>
                <w:rFonts w:asciiTheme="minorHAnsi" w:hAnsiTheme="minorHAnsi"/>
                <w:sz w:val="22"/>
              </w:rPr>
              <w:t>Where an individual</w:t>
            </w:r>
            <w:r w:rsidR="2275B745" w:rsidRPr="78DE4EE1">
              <w:rPr>
                <w:rFonts w:asciiTheme="minorHAnsi" w:hAnsiTheme="minorHAnsi"/>
                <w:sz w:val="22"/>
              </w:rPr>
              <w:t xml:space="preserve"> with a TSR </w:t>
            </w:r>
            <w:r w:rsidR="2275B745" w:rsidRPr="000F7F19">
              <w:rPr>
                <w:rFonts w:asciiTheme="minorHAnsi" w:hAnsiTheme="minorHAnsi"/>
                <w:sz w:val="22"/>
              </w:rPr>
              <w:t>contract</w:t>
            </w:r>
            <w:r w:rsidRPr="000F7F19">
              <w:rPr>
                <w:rFonts w:asciiTheme="minorHAnsi" w:hAnsiTheme="minorHAnsi"/>
                <w:sz w:val="22"/>
              </w:rPr>
              <w:t xml:space="preserve"> </w:t>
            </w:r>
            <w:r w:rsidR="48D618E0" w:rsidRPr="000F7F19">
              <w:rPr>
                <w:rFonts w:asciiTheme="minorHAnsi" w:hAnsiTheme="minorHAnsi"/>
                <w:sz w:val="22"/>
              </w:rPr>
              <w:t xml:space="preserve">is required to </w:t>
            </w:r>
            <w:r w:rsidRPr="000F7F19">
              <w:rPr>
                <w:rFonts w:asciiTheme="minorHAnsi" w:hAnsiTheme="minorHAnsi"/>
                <w:sz w:val="22"/>
              </w:rPr>
              <w:t xml:space="preserve">undertake </w:t>
            </w:r>
            <w:r w:rsidRPr="78DE4EE1">
              <w:rPr>
                <w:rFonts w:asciiTheme="minorHAnsi" w:hAnsiTheme="minorHAnsi"/>
                <w:sz w:val="22"/>
              </w:rPr>
              <w:t xml:space="preserve">additional hours of </w:t>
            </w:r>
            <w:r w:rsidR="2275B745" w:rsidRPr="78DE4EE1">
              <w:rPr>
                <w:rFonts w:asciiTheme="minorHAnsi" w:hAnsiTheme="minorHAnsi"/>
                <w:sz w:val="22"/>
              </w:rPr>
              <w:t>non-Teaching</w:t>
            </w:r>
            <w:r w:rsidRPr="78DE4EE1">
              <w:rPr>
                <w:rFonts w:asciiTheme="minorHAnsi" w:hAnsiTheme="minorHAnsi"/>
                <w:sz w:val="22"/>
              </w:rPr>
              <w:t xml:space="preserve"> Support work, this should be managed either under a CAG contract via the Temporary Staffing Service (ad hoc) or an additional </w:t>
            </w:r>
            <w:r w:rsidR="21ACA3D5" w:rsidRPr="78DE4EE1">
              <w:rPr>
                <w:rFonts w:asciiTheme="minorHAnsi" w:hAnsiTheme="minorHAnsi"/>
                <w:sz w:val="22"/>
              </w:rPr>
              <w:t>m</w:t>
            </w:r>
            <w:r w:rsidRPr="78DE4EE1">
              <w:rPr>
                <w:rFonts w:asciiTheme="minorHAnsi" w:hAnsiTheme="minorHAnsi"/>
                <w:sz w:val="22"/>
              </w:rPr>
              <w:t xml:space="preserve">ain </w:t>
            </w:r>
            <w:r w:rsidR="21ACA3D5" w:rsidRPr="78DE4EE1">
              <w:rPr>
                <w:rFonts w:asciiTheme="minorHAnsi" w:hAnsiTheme="minorHAnsi"/>
                <w:sz w:val="22"/>
              </w:rPr>
              <w:t>s</w:t>
            </w:r>
            <w:r w:rsidRPr="78DE4EE1">
              <w:rPr>
                <w:rFonts w:asciiTheme="minorHAnsi" w:hAnsiTheme="minorHAnsi"/>
                <w:sz w:val="22"/>
              </w:rPr>
              <w:t>taff contract (longer term)</w:t>
            </w:r>
          </w:p>
        </w:tc>
      </w:tr>
    </w:tbl>
    <w:p w14:paraId="1C4E1DF6" w14:textId="35AC2892" w:rsidR="49A922E7" w:rsidRDefault="49A922E7" w:rsidP="00270B01">
      <w:pPr>
        <w:pStyle w:val="Heading3"/>
      </w:pPr>
      <w:bookmarkStart w:id="21" w:name="_Amendment_Period"/>
      <w:bookmarkStart w:id="22" w:name="_Toc177982932"/>
      <w:bookmarkEnd w:id="21"/>
      <w:r w:rsidRPr="78DE4EE1">
        <w:lastRenderedPageBreak/>
        <w:t>A</w:t>
      </w:r>
      <w:r w:rsidR="003529EE">
        <w:t>djust</w:t>
      </w:r>
      <w:r w:rsidRPr="78DE4EE1">
        <w:t>ment Period</w:t>
      </w:r>
      <w:bookmarkEnd w:id="22"/>
    </w:p>
    <w:p w14:paraId="628D28C9" w14:textId="39B3443F" w:rsidR="49A922E7" w:rsidRPr="00AE5A16" w:rsidRDefault="49A922E7" w:rsidP="78DE4EE1">
      <w:pPr>
        <w:rPr>
          <w:rFonts w:eastAsia="Helvetica" w:cs="Helvetica"/>
          <w:szCs w:val="24"/>
        </w:rPr>
      </w:pPr>
      <w:r w:rsidRPr="00AE5A16">
        <w:rPr>
          <w:rFonts w:ascii="Calibri" w:eastAsia="Calibri" w:hAnsi="Calibri" w:cs="Calibri"/>
          <w:sz w:val="22"/>
        </w:rPr>
        <w:t>Schools / Sections should postpone submitting amended hours until the adjustment period in February. This allows the TSR Processing Team to prioritise issuing new contracts and extensions at the start of the academic year which helps to streamline the contracting process.</w:t>
      </w:r>
    </w:p>
    <w:p w14:paraId="1D17FADD" w14:textId="27A8489E" w:rsidR="78DE4EE1" w:rsidRDefault="78DE4EE1" w:rsidP="78DE4EE1">
      <w:pPr>
        <w:rPr>
          <w:rFonts w:asciiTheme="minorHAnsi" w:hAnsiTheme="minorHAnsi"/>
          <w:sz w:val="22"/>
        </w:rPr>
      </w:pPr>
    </w:p>
    <w:p w14:paraId="2FA3E876" w14:textId="77777777" w:rsidR="005C4164" w:rsidRDefault="005C4164" w:rsidP="78DE4EE1">
      <w:pPr>
        <w:rPr>
          <w:rFonts w:asciiTheme="minorHAnsi" w:hAnsiTheme="minorHAnsi"/>
          <w:sz w:val="22"/>
        </w:rPr>
      </w:pPr>
    </w:p>
    <w:p w14:paraId="002BF8A3" w14:textId="77777777" w:rsidR="005C4164" w:rsidRDefault="005C4164" w:rsidP="78DE4EE1">
      <w:pPr>
        <w:rPr>
          <w:rFonts w:asciiTheme="minorHAnsi" w:hAnsiTheme="minorHAnsi"/>
          <w:sz w:val="22"/>
        </w:rPr>
      </w:pPr>
    </w:p>
    <w:p w14:paraId="4646EF6F" w14:textId="77777777" w:rsidR="005C4164" w:rsidRDefault="005C4164" w:rsidP="78DE4EE1">
      <w:pPr>
        <w:rPr>
          <w:rFonts w:asciiTheme="minorHAnsi" w:hAnsiTheme="minorHAnsi"/>
          <w:sz w:val="22"/>
        </w:rPr>
      </w:pPr>
    </w:p>
    <w:p w14:paraId="791E6765" w14:textId="77777777" w:rsidR="005C4164" w:rsidRDefault="005C4164" w:rsidP="78DE4EE1">
      <w:pPr>
        <w:rPr>
          <w:rFonts w:asciiTheme="minorHAnsi" w:hAnsiTheme="minorHAnsi"/>
          <w:sz w:val="22"/>
        </w:rPr>
      </w:pPr>
    </w:p>
    <w:p w14:paraId="0B432308" w14:textId="77777777" w:rsidR="005C4164" w:rsidRDefault="005C4164" w:rsidP="78DE4EE1">
      <w:pPr>
        <w:rPr>
          <w:rFonts w:asciiTheme="minorHAnsi" w:hAnsiTheme="minorHAnsi"/>
          <w:sz w:val="22"/>
        </w:rPr>
      </w:pPr>
    </w:p>
    <w:p w14:paraId="4916A462" w14:textId="77777777" w:rsidR="005C4164" w:rsidRDefault="005C4164" w:rsidP="78DE4EE1">
      <w:pPr>
        <w:rPr>
          <w:rFonts w:asciiTheme="minorHAnsi" w:hAnsiTheme="minorHAnsi"/>
          <w:sz w:val="22"/>
        </w:rPr>
      </w:pPr>
    </w:p>
    <w:p w14:paraId="7A2361E6" w14:textId="77777777" w:rsidR="005C4164" w:rsidRDefault="005C4164" w:rsidP="78DE4EE1">
      <w:pPr>
        <w:rPr>
          <w:rFonts w:asciiTheme="minorHAnsi" w:hAnsiTheme="minorHAnsi"/>
          <w:sz w:val="22"/>
        </w:rPr>
      </w:pPr>
    </w:p>
    <w:p w14:paraId="00F8D81C" w14:textId="77777777" w:rsidR="005C4164" w:rsidRDefault="005C4164" w:rsidP="78DE4EE1">
      <w:pPr>
        <w:rPr>
          <w:rFonts w:asciiTheme="minorHAnsi" w:hAnsiTheme="minorHAnsi"/>
          <w:sz w:val="22"/>
        </w:rPr>
      </w:pPr>
    </w:p>
    <w:p w14:paraId="04AAEA71" w14:textId="77777777" w:rsidR="005C4164" w:rsidRDefault="005C4164" w:rsidP="78DE4EE1">
      <w:pPr>
        <w:rPr>
          <w:rFonts w:asciiTheme="minorHAnsi" w:hAnsiTheme="minorHAnsi"/>
          <w:sz w:val="22"/>
        </w:rPr>
      </w:pPr>
    </w:p>
    <w:p w14:paraId="674116CD" w14:textId="77777777" w:rsidR="005C4164" w:rsidRDefault="005C4164" w:rsidP="78DE4EE1">
      <w:pPr>
        <w:rPr>
          <w:rFonts w:asciiTheme="minorHAnsi" w:hAnsiTheme="minorHAnsi"/>
          <w:sz w:val="22"/>
        </w:rPr>
      </w:pPr>
    </w:p>
    <w:p w14:paraId="62EA64F9" w14:textId="77777777" w:rsidR="005C4164" w:rsidRDefault="005C4164" w:rsidP="78DE4EE1">
      <w:pPr>
        <w:rPr>
          <w:rFonts w:asciiTheme="minorHAnsi" w:hAnsiTheme="minorHAnsi"/>
          <w:sz w:val="22"/>
        </w:rPr>
      </w:pPr>
    </w:p>
    <w:p w14:paraId="59BF5C38" w14:textId="77777777" w:rsidR="005C4164" w:rsidRDefault="005C4164" w:rsidP="78DE4EE1">
      <w:pPr>
        <w:rPr>
          <w:rFonts w:asciiTheme="minorHAnsi" w:hAnsiTheme="minorHAnsi"/>
          <w:sz w:val="22"/>
        </w:rPr>
      </w:pPr>
    </w:p>
    <w:p w14:paraId="337C51B0" w14:textId="77777777" w:rsidR="005C4164" w:rsidRDefault="005C4164" w:rsidP="78DE4EE1">
      <w:pPr>
        <w:rPr>
          <w:rFonts w:asciiTheme="minorHAnsi" w:hAnsiTheme="minorHAnsi"/>
          <w:sz w:val="22"/>
        </w:rPr>
      </w:pPr>
    </w:p>
    <w:p w14:paraId="0703B0D4" w14:textId="77777777" w:rsidR="005C4164" w:rsidRDefault="005C4164" w:rsidP="78DE4EE1">
      <w:pPr>
        <w:rPr>
          <w:rFonts w:asciiTheme="minorHAnsi" w:hAnsiTheme="minorHAnsi"/>
          <w:sz w:val="22"/>
        </w:rPr>
      </w:pPr>
    </w:p>
    <w:p w14:paraId="7E5177F2" w14:textId="77777777" w:rsidR="005C4164" w:rsidRDefault="005C4164" w:rsidP="78DE4EE1">
      <w:pPr>
        <w:rPr>
          <w:rFonts w:asciiTheme="minorHAnsi" w:hAnsiTheme="minorHAnsi"/>
          <w:sz w:val="22"/>
        </w:rPr>
      </w:pPr>
    </w:p>
    <w:p w14:paraId="6482AC2D" w14:textId="77777777" w:rsidR="005C4164" w:rsidRDefault="005C4164" w:rsidP="78DE4EE1">
      <w:pPr>
        <w:rPr>
          <w:rFonts w:asciiTheme="minorHAnsi" w:hAnsiTheme="minorHAnsi"/>
          <w:sz w:val="22"/>
        </w:rPr>
      </w:pPr>
    </w:p>
    <w:p w14:paraId="5E83993F" w14:textId="77777777" w:rsidR="005C4164" w:rsidRDefault="005C4164" w:rsidP="78DE4EE1">
      <w:pPr>
        <w:rPr>
          <w:rFonts w:asciiTheme="minorHAnsi" w:hAnsiTheme="minorHAnsi"/>
          <w:sz w:val="22"/>
        </w:rPr>
      </w:pPr>
    </w:p>
    <w:p w14:paraId="15E77341" w14:textId="77777777" w:rsidR="005C4164" w:rsidRDefault="005C4164" w:rsidP="78DE4EE1">
      <w:pPr>
        <w:rPr>
          <w:rFonts w:asciiTheme="minorHAnsi" w:hAnsiTheme="minorHAnsi"/>
          <w:sz w:val="22"/>
        </w:rPr>
      </w:pPr>
    </w:p>
    <w:p w14:paraId="3C70056D" w14:textId="77777777" w:rsidR="005C4164" w:rsidRDefault="005C4164" w:rsidP="78DE4EE1">
      <w:pPr>
        <w:rPr>
          <w:rFonts w:asciiTheme="minorHAnsi" w:hAnsiTheme="minorHAnsi"/>
          <w:sz w:val="22"/>
        </w:rPr>
      </w:pPr>
    </w:p>
    <w:p w14:paraId="530ED60F" w14:textId="77777777" w:rsidR="005C4164" w:rsidRDefault="005C4164" w:rsidP="78DE4EE1">
      <w:pPr>
        <w:rPr>
          <w:rFonts w:asciiTheme="minorHAnsi" w:hAnsiTheme="minorHAnsi"/>
          <w:sz w:val="22"/>
        </w:rPr>
      </w:pPr>
    </w:p>
    <w:p w14:paraId="42D8E722" w14:textId="77777777" w:rsidR="005C4164" w:rsidRDefault="005C4164" w:rsidP="78DE4EE1">
      <w:pPr>
        <w:rPr>
          <w:rFonts w:asciiTheme="minorHAnsi" w:hAnsiTheme="minorHAnsi"/>
          <w:sz w:val="22"/>
        </w:rPr>
      </w:pPr>
    </w:p>
    <w:p w14:paraId="25B07503" w14:textId="77777777" w:rsidR="005C4164" w:rsidRDefault="005C4164" w:rsidP="78DE4EE1">
      <w:pPr>
        <w:rPr>
          <w:rFonts w:asciiTheme="minorHAnsi" w:hAnsiTheme="minorHAnsi"/>
          <w:sz w:val="22"/>
        </w:rPr>
      </w:pPr>
    </w:p>
    <w:p w14:paraId="2AA7916B" w14:textId="77777777" w:rsidR="005C4164" w:rsidRDefault="005C4164" w:rsidP="78DE4EE1">
      <w:pPr>
        <w:rPr>
          <w:rFonts w:asciiTheme="minorHAnsi" w:hAnsiTheme="minorHAnsi"/>
          <w:sz w:val="22"/>
        </w:rPr>
      </w:pPr>
    </w:p>
    <w:p w14:paraId="655B5559" w14:textId="77777777" w:rsidR="005C4164" w:rsidRDefault="005C4164" w:rsidP="78DE4EE1">
      <w:pPr>
        <w:rPr>
          <w:rFonts w:asciiTheme="minorHAnsi" w:hAnsiTheme="minorHAnsi"/>
          <w:sz w:val="22"/>
        </w:rPr>
      </w:pPr>
    </w:p>
    <w:p w14:paraId="08CA6B43" w14:textId="77777777" w:rsidR="005C4164" w:rsidRDefault="005C4164" w:rsidP="78DE4EE1">
      <w:pPr>
        <w:rPr>
          <w:rFonts w:asciiTheme="minorHAnsi" w:hAnsiTheme="minorHAnsi"/>
          <w:sz w:val="22"/>
        </w:rPr>
      </w:pPr>
    </w:p>
    <w:p w14:paraId="2A115CBA" w14:textId="103D8A55" w:rsidR="005C4164" w:rsidRDefault="005C4164" w:rsidP="005C4164">
      <w:pPr>
        <w:pStyle w:val="Heading1"/>
      </w:pPr>
      <w:bookmarkStart w:id="23" w:name="_Toc177982933"/>
      <w:r>
        <w:lastRenderedPageBreak/>
        <w:t>Absences</w:t>
      </w:r>
      <w:bookmarkEnd w:id="23"/>
    </w:p>
    <w:p w14:paraId="435A8A4A" w14:textId="77777777" w:rsidR="005C4164" w:rsidRDefault="005C4164" w:rsidP="78DE4EE1">
      <w:pPr>
        <w:rPr>
          <w:rFonts w:asciiTheme="minorHAnsi" w:hAnsiTheme="minorHAnsi"/>
          <w:sz w:val="22"/>
        </w:rPr>
      </w:pPr>
    </w:p>
    <w:p w14:paraId="6CF87880" w14:textId="77777777" w:rsidR="003E55D5" w:rsidRPr="00436021" w:rsidRDefault="003E55D5" w:rsidP="003E55D5">
      <w:pPr>
        <w:pStyle w:val="Heading2"/>
      </w:pPr>
      <w:bookmarkStart w:id="24" w:name="_Toc177982934"/>
      <w:r w:rsidRPr="00436021">
        <w:t xml:space="preserve">Administering </w:t>
      </w:r>
      <w:r>
        <w:t>Teaching Support Staff</w:t>
      </w:r>
      <w:r w:rsidRPr="00436021">
        <w:t xml:space="preserve"> Absences</w:t>
      </w:r>
      <w:bookmarkEnd w:id="24"/>
    </w:p>
    <w:p w14:paraId="1333A5E3" w14:textId="3B37D0EC" w:rsidR="003E55D5" w:rsidRPr="00CF03A4" w:rsidRDefault="4E68C4C7" w:rsidP="78DE4EE1">
      <w:pPr>
        <w:rPr>
          <w:rFonts w:asciiTheme="minorHAnsi" w:hAnsiTheme="minorHAnsi"/>
          <w:sz w:val="22"/>
        </w:rPr>
      </w:pPr>
      <w:r w:rsidRPr="00CF03A4">
        <w:rPr>
          <w:rFonts w:asciiTheme="minorHAnsi" w:hAnsiTheme="minorHAnsi"/>
          <w:sz w:val="22"/>
        </w:rPr>
        <w:t xml:space="preserve">TSRs must notify the Head of School/Division or other appropriate person at the earliest possible opportunity in the event that </w:t>
      </w:r>
      <w:r w:rsidR="1F7D0398" w:rsidRPr="00CF03A4">
        <w:rPr>
          <w:rFonts w:asciiTheme="minorHAnsi" w:hAnsiTheme="minorHAnsi"/>
          <w:sz w:val="22"/>
        </w:rPr>
        <w:t xml:space="preserve">they </w:t>
      </w:r>
      <w:r w:rsidRPr="00CF03A4">
        <w:rPr>
          <w:rFonts w:asciiTheme="minorHAnsi" w:hAnsiTheme="minorHAnsi"/>
          <w:sz w:val="22"/>
        </w:rPr>
        <w:t>are unable to attend work. With the exception of sickness (see below), payment will only be due for work actually completed.</w:t>
      </w:r>
    </w:p>
    <w:p w14:paraId="3F6FB1C8" w14:textId="77777777" w:rsidR="003E55D5" w:rsidRPr="00436021" w:rsidRDefault="003E55D5" w:rsidP="00270B01">
      <w:pPr>
        <w:pStyle w:val="Heading3"/>
      </w:pPr>
      <w:bookmarkStart w:id="25" w:name="_Toc516658028"/>
      <w:bookmarkStart w:id="26" w:name="_Toc177982935"/>
      <w:r w:rsidRPr="00436021">
        <w:t>Sickness absence</w:t>
      </w:r>
      <w:bookmarkEnd w:id="25"/>
      <w:bookmarkEnd w:id="26"/>
    </w:p>
    <w:p w14:paraId="7D0D059A" w14:textId="4ABEF2FD" w:rsidR="006A5AB0" w:rsidRPr="008E6279" w:rsidRDefault="006A5AB0" w:rsidP="006A5AB0">
      <w:pPr>
        <w:rPr>
          <w:rFonts w:asciiTheme="minorHAnsi" w:hAnsiTheme="minorHAnsi" w:cstheme="minorHAnsi"/>
          <w:sz w:val="22"/>
        </w:rPr>
      </w:pPr>
      <w:r w:rsidRPr="008E6279">
        <w:rPr>
          <w:rFonts w:asciiTheme="minorHAnsi" w:hAnsiTheme="minorHAnsi" w:cstheme="minorHAnsi"/>
          <w:sz w:val="22"/>
        </w:rPr>
        <w:t>If an individual is unwell and unable to meet their contractual obligations as a result of sickness, they should first attempt to rearrange these obligations to a date/time when they could meet their commitment.  If such attempts to reschedule their commitments are unsuccessful or unrealistic in the circumstances (as agreed with the Head of School)</w:t>
      </w:r>
      <w:r w:rsidR="00D84705" w:rsidRPr="008E6279">
        <w:rPr>
          <w:rFonts w:asciiTheme="minorHAnsi" w:hAnsiTheme="minorHAnsi" w:cstheme="minorHAnsi"/>
          <w:sz w:val="22"/>
        </w:rPr>
        <w:t xml:space="preserve"> the individual may be eligible to receive sick pay as listed below. If the sickness lasts for more than 7 calendar days’ then individuals must provide the School/Department with a supporting doctor’s note.</w:t>
      </w:r>
      <w:r w:rsidRPr="008E6279">
        <w:rPr>
          <w:rFonts w:asciiTheme="minorHAnsi" w:hAnsiTheme="minorHAnsi" w:cstheme="minorHAnsi"/>
          <w:sz w:val="22"/>
        </w:rPr>
        <w:t xml:space="preserve"> </w:t>
      </w:r>
    </w:p>
    <w:p w14:paraId="297DEE32" w14:textId="2463DAD9" w:rsidR="003E55D5" w:rsidRPr="00734372" w:rsidRDefault="003E55D5" w:rsidP="003E55D5">
      <w:pPr>
        <w:numPr>
          <w:ilvl w:val="0"/>
          <w:numId w:val="2"/>
        </w:numPr>
        <w:rPr>
          <w:rFonts w:asciiTheme="minorHAnsi" w:hAnsiTheme="minorHAnsi" w:cstheme="minorHAnsi"/>
          <w:sz w:val="22"/>
        </w:rPr>
      </w:pPr>
      <w:r w:rsidRPr="00734372">
        <w:rPr>
          <w:rFonts w:asciiTheme="minorHAnsi" w:hAnsiTheme="minorHAnsi" w:cstheme="minorHAnsi"/>
          <w:b/>
          <w:sz w:val="22"/>
        </w:rPr>
        <w:t>OSP</w:t>
      </w:r>
      <w:r w:rsidRPr="00734372">
        <w:rPr>
          <w:rFonts w:asciiTheme="minorHAnsi" w:hAnsiTheme="minorHAnsi" w:cstheme="minorHAnsi"/>
          <w:sz w:val="22"/>
        </w:rPr>
        <w:t xml:space="preserve"> </w:t>
      </w:r>
      <w:r w:rsidR="00734372" w:rsidRPr="00734372">
        <w:rPr>
          <w:rFonts w:asciiTheme="minorHAnsi" w:hAnsiTheme="minorHAnsi" w:cstheme="minorHAnsi"/>
          <w:sz w:val="22"/>
        </w:rPr>
        <w:t>–</w:t>
      </w:r>
      <w:r w:rsidRPr="00734372">
        <w:rPr>
          <w:rFonts w:asciiTheme="minorHAnsi" w:hAnsiTheme="minorHAnsi" w:cstheme="minorHAnsi"/>
          <w:sz w:val="22"/>
        </w:rPr>
        <w:t xml:space="preserve"> </w:t>
      </w:r>
      <w:r w:rsidR="00734372" w:rsidRPr="00EF7FF7">
        <w:rPr>
          <w:rFonts w:asciiTheme="minorHAnsi" w:hAnsiTheme="minorHAnsi" w:cstheme="minorHAnsi"/>
          <w:sz w:val="22"/>
        </w:rPr>
        <w:t xml:space="preserve">the maximum entitlement to sick pay is up to one month’s </w:t>
      </w:r>
      <w:r w:rsidR="00734372" w:rsidRPr="00734372">
        <w:rPr>
          <w:rFonts w:asciiTheme="minorHAnsi" w:hAnsiTheme="minorHAnsi" w:cstheme="minorHAnsi"/>
          <w:sz w:val="22"/>
        </w:rPr>
        <w:t xml:space="preserve">paid sickness leave within the first year of service, increasing to two months’ paid sickness leave after one year’s continuous service and three months’ paid sickness leave after two years’ continuous service. For this purpose, a month’s pay is calculated by dividing the total hours in the contract by 12 to give an equivalent entitlement in hours.  </w:t>
      </w:r>
    </w:p>
    <w:p w14:paraId="5F27C83B" w14:textId="77777777" w:rsidR="003E55D5" w:rsidRPr="00734372" w:rsidRDefault="003E55D5" w:rsidP="003E55D5">
      <w:pPr>
        <w:numPr>
          <w:ilvl w:val="0"/>
          <w:numId w:val="2"/>
        </w:numPr>
        <w:rPr>
          <w:rFonts w:asciiTheme="minorHAnsi" w:hAnsiTheme="minorHAnsi" w:cstheme="minorHAnsi"/>
          <w:sz w:val="22"/>
        </w:rPr>
      </w:pPr>
      <w:r w:rsidRPr="00734372">
        <w:rPr>
          <w:rFonts w:asciiTheme="minorHAnsi" w:hAnsiTheme="minorHAnsi" w:cstheme="minorHAnsi"/>
          <w:b/>
          <w:sz w:val="22"/>
        </w:rPr>
        <w:t>SSP</w:t>
      </w:r>
      <w:r w:rsidRPr="00734372">
        <w:rPr>
          <w:rFonts w:asciiTheme="minorHAnsi" w:hAnsiTheme="minorHAnsi" w:cstheme="minorHAnsi"/>
          <w:sz w:val="22"/>
        </w:rPr>
        <w:t xml:space="preserve"> – where statutory criteria are met.</w:t>
      </w:r>
    </w:p>
    <w:p w14:paraId="143977FF" w14:textId="76E0E344" w:rsidR="003E55D5" w:rsidRPr="006348F5" w:rsidRDefault="003E55D5" w:rsidP="003E55D5">
      <w:pPr>
        <w:rPr>
          <w:rFonts w:asciiTheme="minorHAnsi" w:hAnsiTheme="minorHAnsi" w:cstheme="minorHAnsi"/>
          <w:sz w:val="22"/>
        </w:rPr>
      </w:pPr>
      <w:r w:rsidRPr="006348F5">
        <w:rPr>
          <w:rFonts w:asciiTheme="minorHAnsi" w:hAnsiTheme="minorHAnsi" w:cstheme="minorHAnsi"/>
          <w:sz w:val="22"/>
        </w:rPr>
        <w:t xml:space="preserve">In situations where it may be appropriate to pay sick pay, this should be referred to the </w:t>
      </w:r>
      <w:r w:rsidR="002A30BC" w:rsidRPr="006348F5">
        <w:rPr>
          <w:rFonts w:asciiTheme="minorHAnsi" w:hAnsiTheme="minorHAnsi" w:cstheme="minorHAnsi"/>
          <w:sz w:val="22"/>
        </w:rPr>
        <w:t>TSR Processing Team</w:t>
      </w:r>
      <w:r w:rsidRPr="006348F5">
        <w:rPr>
          <w:rFonts w:asciiTheme="minorHAnsi" w:hAnsiTheme="minorHAnsi" w:cstheme="minorHAnsi"/>
          <w:sz w:val="22"/>
        </w:rPr>
        <w:t xml:space="preserve"> who will discuss the case with </w:t>
      </w:r>
      <w:r w:rsidR="00D84705" w:rsidRPr="006348F5">
        <w:rPr>
          <w:rFonts w:asciiTheme="minorHAnsi" w:hAnsiTheme="minorHAnsi" w:cstheme="minorHAnsi"/>
          <w:sz w:val="22"/>
        </w:rPr>
        <w:t xml:space="preserve">HR and </w:t>
      </w:r>
      <w:r w:rsidRPr="006348F5">
        <w:rPr>
          <w:rFonts w:asciiTheme="minorHAnsi" w:hAnsiTheme="minorHAnsi" w:cstheme="minorHAnsi"/>
          <w:sz w:val="22"/>
        </w:rPr>
        <w:t xml:space="preserve">Payroll to assess </w:t>
      </w:r>
      <w:r w:rsidR="0012202C" w:rsidRPr="006348F5">
        <w:rPr>
          <w:rFonts w:asciiTheme="minorHAnsi" w:hAnsiTheme="minorHAnsi" w:cstheme="minorHAnsi"/>
          <w:sz w:val="22"/>
        </w:rPr>
        <w:t xml:space="preserve">eligibility </w:t>
      </w:r>
      <w:r w:rsidRPr="006348F5">
        <w:rPr>
          <w:rFonts w:asciiTheme="minorHAnsi" w:hAnsiTheme="minorHAnsi" w:cstheme="minorHAnsi"/>
          <w:sz w:val="22"/>
        </w:rPr>
        <w:t xml:space="preserve">and what sick pay is payable. </w:t>
      </w:r>
    </w:p>
    <w:p w14:paraId="45CD24C4" w14:textId="61042D3F" w:rsidR="006A5AB0" w:rsidRPr="00436021" w:rsidRDefault="003E55D5" w:rsidP="003E55D5">
      <w:pPr>
        <w:rPr>
          <w:rFonts w:asciiTheme="minorHAnsi" w:hAnsiTheme="minorHAnsi" w:cstheme="minorHAnsi"/>
          <w:sz w:val="22"/>
        </w:rPr>
      </w:pPr>
      <w:r w:rsidRPr="00436021">
        <w:rPr>
          <w:rFonts w:asciiTheme="minorHAnsi" w:hAnsiTheme="minorHAnsi" w:cstheme="minorHAnsi"/>
          <w:sz w:val="22"/>
        </w:rPr>
        <w:t xml:space="preserve">Where it is agreed that sick pay is payable, </w:t>
      </w:r>
      <w:r w:rsidR="00734372">
        <w:rPr>
          <w:rFonts w:asciiTheme="minorHAnsi" w:hAnsiTheme="minorHAnsi" w:cstheme="minorHAnsi"/>
          <w:sz w:val="22"/>
        </w:rPr>
        <w:t>HR</w:t>
      </w:r>
      <w:r w:rsidRPr="00436021">
        <w:rPr>
          <w:rFonts w:asciiTheme="minorHAnsi" w:hAnsiTheme="minorHAnsi" w:cstheme="minorHAnsi"/>
          <w:sz w:val="22"/>
        </w:rPr>
        <w:t xml:space="preserve"> will provide Payroll with the relevant details</w:t>
      </w:r>
      <w:r>
        <w:rPr>
          <w:rFonts w:asciiTheme="minorHAnsi" w:hAnsiTheme="minorHAnsi" w:cstheme="minorHAnsi"/>
          <w:sz w:val="22"/>
        </w:rPr>
        <w:t xml:space="preserve">, and </w:t>
      </w:r>
      <w:r w:rsidRPr="00436021">
        <w:rPr>
          <w:rFonts w:asciiTheme="minorHAnsi" w:hAnsiTheme="minorHAnsi" w:cstheme="minorHAnsi"/>
          <w:sz w:val="22"/>
        </w:rPr>
        <w:t xml:space="preserve">Payroll </w:t>
      </w:r>
      <w:r>
        <w:rPr>
          <w:rFonts w:asciiTheme="minorHAnsi" w:hAnsiTheme="minorHAnsi" w:cstheme="minorHAnsi"/>
          <w:sz w:val="22"/>
        </w:rPr>
        <w:t>will</w:t>
      </w:r>
      <w:r w:rsidRPr="00436021">
        <w:rPr>
          <w:rFonts w:asciiTheme="minorHAnsi" w:hAnsiTheme="minorHAnsi" w:cstheme="minorHAnsi"/>
          <w:sz w:val="22"/>
        </w:rPr>
        <w:t xml:space="preserve"> arrange for the </w:t>
      </w:r>
      <w:r>
        <w:rPr>
          <w:rFonts w:asciiTheme="minorHAnsi" w:hAnsiTheme="minorHAnsi" w:cstheme="minorHAnsi"/>
          <w:sz w:val="22"/>
        </w:rPr>
        <w:t>individual</w:t>
      </w:r>
      <w:r w:rsidRPr="00436021">
        <w:rPr>
          <w:rFonts w:asciiTheme="minorHAnsi" w:hAnsiTheme="minorHAnsi" w:cstheme="minorHAnsi"/>
          <w:sz w:val="22"/>
        </w:rPr>
        <w:t xml:space="preserve"> to receive payment accordingly.</w:t>
      </w:r>
    </w:p>
    <w:p w14:paraId="23C3EA02" w14:textId="77777777" w:rsidR="003E55D5" w:rsidRPr="00436021" w:rsidRDefault="003E55D5" w:rsidP="00270B01">
      <w:pPr>
        <w:pStyle w:val="Heading3"/>
      </w:pPr>
      <w:bookmarkStart w:id="27" w:name="_Toc516658029"/>
      <w:bookmarkStart w:id="28" w:name="_Toc177982936"/>
      <w:r w:rsidRPr="00436021">
        <w:t>Statutory family leave</w:t>
      </w:r>
      <w:bookmarkEnd w:id="27"/>
      <w:bookmarkEnd w:id="28"/>
    </w:p>
    <w:p w14:paraId="2DF51D2E" w14:textId="3ED02247" w:rsidR="003E55D5" w:rsidRPr="00B222F8" w:rsidRDefault="003E55D5" w:rsidP="003E55D5">
      <w:pPr>
        <w:rPr>
          <w:rFonts w:asciiTheme="minorHAnsi" w:hAnsiTheme="minorHAnsi" w:cstheme="minorHAnsi"/>
          <w:sz w:val="22"/>
        </w:rPr>
      </w:pPr>
      <w:r w:rsidRPr="00B222F8">
        <w:rPr>
          <w:rFonts w:asciiTheme="minorHAnsi" w:hAnsiTheme="minorHAnsi" w:cstheme="minorHAnsi"/>
          <w:sz w:val="22"/>
        </w:rPr>
        <w:t xml:space="preserve">Teaching Support Staff have the same entitlement to Maternity leave and other statutory family leave as </w:t>
      </w:r>
      <w:r w:rsidR="00A644D8" w:rsidRPr="00B222F8">
        <w:rPr>
          <w:rFonts w:asciiTheme="minorHAnsi" w:hAnsiTheme="minorHAnsi" w:cstheme="minorHAnsi"/>
          <w:sz w:val="22"/>
        </w:rPr>
        <w:t>m</w:t>
      </w:r>
      <w:r w:rsidRPr="00B222F8">
        <w:rPr>
          <w:rFonts w:asciiTheme="minorHAnsi" w:hAnsiTheme="minorHAnsi" w:cstheme="minorHAnsi"/>
          <w:sz w:val="22"/>
        </w:rPr>
        <w:t xml:space="preserve">ain staff (pro-rata).  The </w:t>
      </w:r>
      <w:r w:rsidR="002A30BC" w:rsidRPr="00B222F8">
        <w:rPr>
          <w:rFonts w:asciiTheme="minorHAnsi" w:hAnsiTheme="minorHAnsi" w:cstheme="minorHAnsi"/>
          <w:sz w:val="22"/>
        </w:rPr>
        <w:t>TSR Processing Team</w:t>
      </w:r>
      <w:r w:rsidRPr="00B222F8">
        <w:rPr>
          <w:rFonts w:asciiTheme="minorHAnsi" w:hAnsiTheme="minorHAnsi" w:cstheme="minorHAnsi"/>
          <w:sz w:val="22"/>
        </w:rPr>
        <w:t xml:space="preserve"> will liaise with </w:t>
      </w:r>
      <w:r w:rsidR="00A023FA" w:rsidRPr="00B222F8">
        <w:rPr>
          <w:rFonts w:asciiTheme="minorHAnsi" w:hAnsiTheme="minorHAnsi" w:cstheme="minorHAnsi"/>
          <w:sz w:val="22"/>
        </w:rPr>
        <w:t xml:space="preserve">HR &amp; </w:t>
      </w:r>
      <w:r w:rsidRPr="00B222F8">
        <w:rPr>
          <w:rFonts w:asciiTheme="minorHAnsi" w:hAnsiTheme="minorHAnsi" w:cstheme="minorHAnsi"/>
          <w:sz w:val="22"/>
        </w:rPr>
        <w:t xml:space="preserve">Payroll off-system when an application is received to discuss next steps, including the entering of the calculated maternity or other pay onto MyERP.    </w:t>
      </w:r>
    </w:p>
    <w:p w14:paraId="2F6D2802" w14:textId="77777777" w:rsidR="003E55D5" w:rsidRDefault="003E55D5" w:rsidP="003E55D5">
      <w:pPr>
        <w:rPr>
          <w:rFonts w:asciiTheme="minorHAnsi" w:hAnsiTheme="minorHAnsi" w:cstheme="minorHAnsi"/>
          <w:b/>
          <w:sz w:val="22"/>
        </w:rPr>
      </w:pPr>
    </w:p>
    <w:p w14:paraId="09A49458" w14:textId="77777777" w:rsidR="003E55D5" w:rsidRDefault="003E55D5" w:rsidP="003E55D5">
      <w:pPr>
        <w:pStyle w:val="Heading1"/>
      </w:pPr>
      <w:bookmarkStart w:id="29" w:name="_Toc177982937"/>
      <w:r>
        <w:lastRenderedPageBreak/>
        <w:t>Monitoring / Reporting on Teaching Support Staff</w:t>
      </w:r>
      <w:bookmarkEnd w:id="29"/>
    </w:p>
    <w:p w14:paraId="09DBAF9E" w14:textId="77777777" w:rsidR="003E55D5" w:rsidRDefault="003E55D5" w:rsidP="003E55D5"/>
    <w:p w14:paraId="4BECE3FD" w14:textId="151A58B9" w:rsidR="003E55D5" w:rsidRDefault="003E55D5" w:rsidP="003E55D5">
      <w:pPr>
        <w:rPr>
          <w:rFonts w:asciiTheme="minorHAnsi" w:hAnsiTheme="minorHAnsi" w:cstheme="minorHAnsi"/>
          <w:sz w:val="22"/>
        </w:rPr>
      </w:pPr>
      <w:r>
        <w:rPr>
          <w:rFonts w:asciiTheme="minorHAnsi" w:hAnsiTheme="minorHAnsi" w:cstheme="minorHAnsi"/>
          <w:sz w:val="22"/>
        </w:rPr>
        <w:t>There are several reports available in MyERP to support the monitoring of TSR activity and to provide information on Teaching Support claims to support the workflow approval process. The reports available to School</w:t>
      </w:r>
      <w:r w:rsidR="00097A10">
        <w:rPr>
          <w:rFonts w:asciiTheme="minorHAnsi" w:hAnsiTheme="minorHAnsi" w:cstheme="minorHAnsi"/>
          <w:sz w:val="22"/>
        </w:rPr>
        <w:t xml:space="preserve"> </w:t>
      </w:r>
      <w:r>
        <w:rPr>
          <w:rFonts w:asciiTheme="minorHAnsi" w:hAnsiTheme="minorHAnsi" w:cstheme="minorHAnsi"/>
          <w:sz w:val="22"/>
        </w:rPr>
        <w:t>/</w:t>
      </w:r>
      <w:r w:rsidR="00097A10">
        <w:rPr>
          <w:rFonts w:asciiTheme="minorHAnsi" w:hAnsiTheme="minorHAnsi" w:cstheme="minorHAnsi"/>
          <w:sz w:val="22"/>
        </w:rPr>
        <w:t xml:space="preserve"> </w:t>
      </w:r>
      <w:r>
        <w:rPr>
          <w:rFonts w:asciiTheme="minorHAnsi" w:hAnsiTheme="minorHAnsi" w:cstheme="minorHAnsi"/>
          <w:sz w:val="22"/>
        </w:rPr>
        <w:t xml:space="preserve">Section Managers and TSR Approvers are summarised in the table below. </w:t>
      </w:r>
    </w:p>
    <w:p w14:paraId="59F34576" w14:textId="15BC3037" w:rsidR="003E55D5" w:rsidRDefault="003E55D5" w:rsidP="003E55D5">
      <w:pPr>
        <w:rPr>
          <w:rFonts w:asciiTheme="minorHAnsi" w:hAnsiTheme="minorHAnsi" w:cstheme="minorHAnsi"/>
          <w:sz w:val="22"/>
        </w:rPr>
      </w:pPr>
      <w:r>
        <w:rPr>
          <w:rFonts w:asciiTheme="minorHAnsi" w:hAnsiTheme="minorHAnsi" w:cstheme="minorHAnsi"/>
          <w:sz w:val="22"/>
        </w:rPr>
        <w:t>For more information on how to run these reports s</w:t>
      </w:r>
      <w:r w:rsidRPr="00436021">
        <w:rPr>
          <w:rFonts w:asciiTheme="minorHAnsi" w:hAnsiTheme="minorHAnsi" w:cstheme="minorHAnsi"/>
          <w:sz w:val="22"/>
        </w:rPr>
        <w:t xml:space="preserve">ee </w:t>
      </w:r>
      <w:hyperlink r:id="rId28" w:history="1">
        <w:r w:rsidRPr="00A20FAC">
          <w:rPr>
            <w:rStyle w:val="Hyperlink"/>
            <w:rFonts w:asciiTheme="minorHAnsi" w:hAnsiTheme="minorHAnsi" w:cstheme="minorHAnsi"/>
            <w:sz w:val="22"/>
          </w:rPr>
          <w:t>Staffing Reports for Managers</w:t>
        </w:r>
      </w:hyperlink>
      <w:r w:rsidRPr="00436021">
        <w:rPr>
          <w:rFonts w:asciiTheme="minorHAnsi" w:hAnsiTheme="minorHAnsi" w:cstheme="minorHAnsi"/>
          <w:sz w:val="22"/>
        </w:rPr>
        <w:t xml:space="preserve"> on the</w:t>
      </w:r>
      <w:r>
        <w:rPr>
          <w:rFonts w:asciiTheme="minorHAnsi" w:hAnsiTheme="minorHAnsi" w:cstheme="minorHAnsi"/>
          <w:sz w:val="22"/>
        </w:rPr>
        <w:t xml:space="preserve"> MyERP Support </w:t>
      </w:r>
      <w:r w:rsidR="00A20FAC">
        <w:rPr>
          <w:rFonts w:asciiTheme="minorHAnsi" w:hAnsiTheme="minorHAnsi" w:cstheme="minorHAnsi"/>
          <w:sz w:val="22"/>
        </w:rPr>
        <w:t>SharePoint</w:t>
      </w:r>
      <w:r>
        <w:rPr>
          <w:rFonts w:asciiTheme="minorHAnsi" w:hAnsiTheme="minorHAnsi" w:cstheme="minorHAnsi"/>
          <w:sz w:val="22"/>
        </w:rPr>
        <w:t xml:space="preserve"> </w:t>
      </w:r>
      <w:r w:rsidRPr="00097A10">
        <w:rPr>
          <w:rFonts w:asciiTheme="minorHAnsi" w:hAnsiTheme="minorHAnsi" w:cstheme="minorHAnsi"/>
          <w:sz w:val="22"/>
        </w:rPr>
        <w:t>site</w:t>
      </w:r>
      <w:r w:rsidR="00E3363B" w:rsidRPr="00097A10">
        <w:rPr>
          <w:rFonts w:asciiTheme="minorHAnsi" w:hAnsiTheme="minorHAnsi" w:cstheme="minorHAnsi"/>
          <w:sz w:val="22"/>
        </w:rPr>
        <w:t xml:space="preserve"> under Teaching Support Roles</w:t>
      </w:r>
      <w:r w:rsidR="00A20FAC" w:rsidRPr="00097A10">
        <w:rPr>
          <w:rFonts w:asciiTheme="minorHAnsi" w:hAnsiTheme="minorHAnsi" w:cstheme="minorHAnsi"/>
          <w:sz w:val="22"/>
        </w:rPr>
        <w:t>.</w:t>
      </w:r>
    </w:p>
    <w:p w14:paraId="64BCB6ED" w14:textId="77777777" w:rsidR="003E55D5" w:rsidRDefault="003E55D5" w:rsidP="003E55D5">
      <w:pPr>
        <w:rPr>
          <w:rFonts w:asciiTheme="minorHAnsi" w:hAnsiTheme="minorHAnsi" w:cstheme="minorHAnsi"/>
          <w:sz w:val="22"/>
        </w:rPr>
      </w:pPr>
      <w:r>
        <w:rPr>
          <w:rFonts w:asciiTheme="minorHAnsi" w:hAnsiTheme="minorHAnsi" w:cstheme="minorHAnsi"/>
          <w:sz w:val="22"/>
        </w:rPr>
        <w:t xml:space="preserve">Note, the “My TSR…” reports by default will return </w:t>
      </w:r>
      <w:r w:rsidRPr="00E3363B">
        <w:rPr>
          <w:rFonts w:asciiTheme="minorHAnsi" w:hAnsiTheme="minorHAnsi" w:cstheme="minorHAnsi"/>
          <w:b/>
          <w:iCs/>
          <w:sz w:val="22"/>
        </w:rPr>
        <w:t xml:space="preserve">current TSR contracts plus those that have ended within the past 12 months. </w:t>
      </w:r>
      <w:r>
        <w:rPr>
          <w:rFonts w:asciiTheme="minorHAnsi" w:hAnsiTheme="minorHAnsi" w:cstheme="minorHAnsi"/>
          <w:sz w:val="22"/>
        </w:rPr>
        <w:t>This is to allow you to view any contracts relating to the current academic year even if they have already ended. This will be more relevant when running the reports in the latter part of the academic year, e.g. when running the reports in May or June, to include contracts that were only for teaching block 1.</w:t>
      </w:r>
    </w:p>
    <w:p w14:paraId="36C293FD" w14:textId="77777777" w:rsidR="003E55D5" w:rsidRDefault="003E55D5" w:rsidP="003E55D5">
      <w:pPr>
        <w:rPr>
          <w:rFonts w:asciiTheme="minorHAnsi" w:hAnsiTheme="minorHAnsi" w:cstheme="minorHAnsi"/>
          <w:sz w:val="22"/>
        </w:rPr>
      </w:pPr>
      <w:r>
        <w:rPr>
          <w:rFonts w:asciiTheme="minorHAnsi" w:hAnsiTheme="minorHAnsi" w:cstheme="minorHAnsi"/>
          <w:sz w:val="22"/>
        </w:rPr>
        <w:t xml:space="preserve">The reports include an </w:t>
      </w:r>
      <w:r w:rsidRPr="00E3363B">
        <w:rPr>
          <w:rFonts w:asciiTheme="minorHAnsi" w:hAnsiTheme="minorHAnsi" w:cstheme="minorHAnsi"/>
          <w:b/>
          <w:iCs/>
          <w:sz w:val="22"/>
        </w:rPr>
        <w:t>editable date parameter</w:t>
      </w:r>
      <w:r>
        <w:rPr>
          <w:rFonts w:asciiTheme="minorHAnsi" w:hAnsiTheme="minorHAnsi" w:cstheme="minorHAnsi"/>
          <w:sz w:val="22"/>
        </w:rPr>
        <w:t xml:space="preserve"> on ‘Contract End Date greater than or equal to’. By amending the date value to today’s date and then clicking ‘Search’ on the report, you can restrict the results to just those contracts which are currently active (i.e. where the contract end date is in the future). </w:t>
      </w:r>
    </w:p>
    <w:tbl>
      <w:tblPr>
        <w:tblW w:w="5001"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83"/>
        <w:gridCol w:w="8235"/>
      </w:tblGrid>
      <w:tr w:rsidR="003E55D5" w:rsidRPr="00436021" w14:paraId="57C6D729" w14:textId="77777777" w:rsidTr="78DE4EE1">
        <w:trPr>
          <w:trHeight w:val="610"/>
        </w:trPr>
        <w:tc>
          <w:tcPr>
            <w:tcW w:w="434" w:type="pct"/>
            <w:vAlign w:val="center"/>
          </w:tcPr>
          <w:p w14:paraId="61B42E58" w14:textId="77777777" w:rsidR="003E55D5" w:rsidRPr="00436021" w:rsidRDefault="003E55D5">
            <w:pPr>
              <w:rPr>
                <w:rFonts w:asciiTheme="minorHAnsi" w:hAnsiTheme="minorHAnsi" w:cstheme="minorHAnsi"/>
                <w:sz w:val="22"/>
                <w:highlight w:val="lightGray"/>
              </w:rPr>
            </w:pPr>
            <w:r w:rsidRPr="00436021">
              <w:rPr>
                <w:rFonts w:asciiTheme="minorHAnsi" w:hAnsiTheme="minorHAnsi" w:cstheme="minorHAnsi"/>
                <w:noProof/>
                <w:sz w:val="22"/>
                <w:lang w:eastAsia="en-GB"/>
              </w:rPr>
              <w:drawing>
                <wp:inline distT="0" distB="0" distL="0" distR="0" wp14:anchorId="782E16B7" wp14:editId="1B2A6761">
                  <wp:extent cx="323850" cy="323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_INFO_RED_SMALL.jpg"/>
                          <pic:cNvPicPr/>
                        </pic:nvPicPr>
                        <pic:blipFill>
                          <a:blip r:embed="rId21" cstate="print">
                            <a:extLst>
                              <a:ext uri="{28A0092B-C50C-407E-A947-70E740481C1C}">
                                <a14:useLocalDpi xmlns:a14="http://schemas.microsoft.com/office/drawing/2010/main" val="0"/>
                              </a:ext>
                            </a:extLst>
                          </a:blip>
                          <a:stretch>
                            <a:fillRect/>
                          </a:stretch>
                        </pic:blipFill>
                        <pic:spPr>
                          <a:xfrm rot="10800000">
                            <a:off x="0" y="0"/>
                            <a:ext cx="323850" cy="323850"/>
                          </a:xfrm>
                          <a:prstGeom prst="rect">
                            <a:avLst/>
                          </a:prstGeom>
                        </pic:spPr>
                      </pic:pic>
                    </a:graphicData>
                  </a:graphic>
                </wp:inline>
              </w:drawing>
            </w:r>
          </w:p>
        </w:tc>
        <w:tc>
          <w:tcPr>
            <w:tcW w:w="4566" w:type="pct"/>
            <w:vAlign w:val="center"/>
          </w:tcPr>
          <w:p w14:paraId="5862D337" w14:textId="41C00F0D" w:rsidR="003E55D5" w:rsidRDefault="3683FC86" w:rsidP="78DE4EE1">
            <w:pPr>
              <w:rPr>
                <w:rFonts w:asciiTheme="minorHAnsi" w:hAnsiTheme="minorHAnsi"/>
                <w:sz w:val="22"/>
              </w:rPr>
            </w:pPr>
            <w:r w:rsidRPr="78DE4EE1">
              <w:rPr>
                <w:rFonts w:asciiTheme="minorHAnsi" w:hAnsiTheme="minorHAnsi"/>
                <w:sz w:val="22"/>
              </w:rPr>
              <w:t>When liaising with colleagues in</w:t>
            </w:r>
            <w:r w:rsidR="74FA0236" w:rsidRPr="001862E4">
              <w:rPr>
                <w:rFonts w:asciiTheme="minorHAnsi" w:hAnsiTheme="minorHAnsi"/>
                <w:sz w:val="22"/>
              </w:rPr>
              <w:t xml:space="preserve"> the TSR Processing Team </w:t>
            </w:r>
            <w:r w:rsidRPr="001862E4">
              <w:rPr>
                <w:rFonts w:asciiTheme="minorHAnsi" w:hAnsiTheme="minorHAnsi"/>
                <w:sz w:val="22"/>
              </w:rPr>
              <w:t>an</w:t>
            </w:r>
            <w:r w:rsidRPr="78DE4EE1">
              <w:rPr>
                <w:rFonts w:asciiTheme="minorHAnsi" w:hAnsiTheme="minorHAnsi"/>
                <w:sz w:val="22"/>
              </w:rPr>
              <w:t>d Finance regarding TSR data, be aware that:</w:t>
            </w:r>
          </w:p>
          <w:p w14:paraId="624DB860" w14:textId="4A81A096" w:rsidR="003E55D5" w:rsidRPr="00D743D8" w:rsidRDefault="003E55D5" w:rsidP="003E55D5">
            <w:pPr>
              <w:numPr>
                <w:ilvl w:val="0"/>
                <w:numId w:val="7"/>
              </w:numPr>
              <w:rPr>
                <w:rFonts w:asciiTheme="minorHAnsi" w:hAnsiTheme="minorHAnsi" w:cstheme="minorHAnsi"/>
                <w:sz w:val="22"/>
                <w:szCs w:val="20"/>
              </w:rPr>
            </w:pPr>
            <w:r w:rsidRPr="00D743D8">
              <w:rPr>
                <w:rFonts w:asciiTheme="minorHAnsi" w:hAnsiTheme="minorHAnsi" w:cstheme="minorHAnsi"/>
                <w:sz w:val="22"/>
                <w:szCs w:val="20"/>
              </w:rPr>
              <w:t xml:space="preserve">HR have access to the </w:t>
            </w:r>
            <w:r w:rsidRPr="00D743D8">
              <w:rPr>
                <w:rFonts w:asciiTheme="minorHAnsi" w:hAnsiTheme="minorHAnsi" w:cstheme="minorHAnsi"/>
                <w:sz w:val="22"/>
                <w:szCs w:val="20"/>
                <w:u w:val="single"/>
              </w:rPr>
              <w:t>same</w:t>
            </w:r>
            <w:r w:rsidRPr="00D743D8">
              <w:rPr>
                <w:rFonts w:asciiTheme="minorHAnsi" w:hAnsiTheme="minorHAnsi" w:cstheme="minorHAnsi"/>
                <w:sz w:val="22"/>
                <w:szCs w:val="20"/>
              </w:rPr>
              <w:t xml:space="preserve"> TSR reports as School/Section </w:t>
            </w:r>
            <w:r w:rsidR="00C65C45">
              <w:rPr>
                <w:rFonts w:asciiTheme="minorHAnsi" w:hAnsiTheme="minorHAnsi" w:cstheme="minorHAnsi"/>
                <w:sz w:val="22"/>
                <w:szCs w:val="20"/>
              </w:rPr>
              <w:t>M</w:t>
            </w:r>
            <w:r w:rsidRPr="00D743D8">
              <w:rPr>
                <w:rFonts w:asciiTheme="minorHAnsi" w:hAnsiTheme="minorHAnsi" w:cstheme="minorHAnsi"/>
                <w:sz w:val="22"/>
                <w:szCs w:val="20"/>
              </w:rPr>
              <w:t>anagers.</w:t>
            </w:r>
          </w:p>
          <w:p w14:paraId="5AA71B15" w14:textId="2D9DF252" w:rsidR="003E55D5" w:rsidRPr="009137E0" w:rsidRDefault="003E55D5" w:rsidP="003E55D5">
            <w:pPr>
              <w:numPr>
                <w:ilvl w:val="0"/>
                <w:numId w:val="7"/>
              </w:numPr>
              <w:rPr>
                <w:rFonts w:cstheme="minorHAnsi"/>
              </w:rPr>
            </w:pPr>
            <w:r w:rsidRPr="00D743D8">
              <w:rPr>
                <w:rFonts w:asciiTheme="minorHAnsi" w:hAnsiTheme="minorHAnsi" w:cstheme="minorHAnsi"/>
                <w:sz w:val="22"/>
                <w:szCs w:val="20"/>
              </w:rPr>
              <w:t xml:space="preserve">Finance use a different report for viewing data on </w:t>
            </w:r>
            <w:r w:rsidR="00CE3179" w:rsidRPr="00D743D8">
              <w:rPr>
                <w:rFonts w:asciiTheme="minorHAnsi" w:hAnsiTheme="minorHAnsi" w:cstheme="minorHAnsi"/>
                <w:sz w:val="22"/>
                <w:szCs w:val="20"/>
              </w:rPr>
              <w:t>TS</w:t>
            </w:r>
            <w:r w:rsidRPr="00D743D8">
              <w:rPr>
                <w:rFonts w:asciiTheme="minorHAnsi" w:hAnsiTheme="minorHAnsi" w:cstheme="minorHAnsi"/>
                <w:sz w:val="22"/>
                <w:szCs w:val="20"/>
              </w:rPr>
              <w:t xml:space="preserve">R contracts, which has </w:t>
            </w:r>
            <w:r w:rsidRPr="00D743D8">
              <w:rPr>
                <w:rFonts w:asciiTheme="minorHAnsi" w:hAnsiTheme="minorHAnsi" w:cstheme="minorHAnsi"/>
                <w:sz w:val="22"/>
                <w:szCs w:val="20"/>
                <w:u w:val="single"/>
              </w:rPr>
              <w:t>different date parameters</w:t>
            </w:r>
            <w:r w:rsidRPr="00D743D8">
              <w:rPr>
                <w:rFonts w:asciiTheme="minorHAnsi" w:hAnsiTheme="minorHAnsi" w:cstheme="minorHAnsi"/>
                <w:sz w:val="22"/>
                <w:szCs w:val="20"/>
              </w:rPr>
              <w:t xml:space="preserve"> than the School/Section Manager reports. It may be necessary to further filter report results in Excel in order to get corresponding data sets.</w:t>
            </w:r>
            <w:r w:rsidRPr="00D743D8">
              <w:rPr>
                <w:rFonts w:cstheme="minorHAnsi"/>
                <w:sz w:val="22"/>
                <w:szCs w:val="20"/>
              </w:rPr>
              <w:t xml:space="preserve"> </w:t>
            </w:r>
          </w:p>
        </w:tc>
      </w:tr>
    </w:tbl>
    <w:p w14:paraId="02391445" w14:textId="77777777" w:rsidR="003E55D5" w:rsidRDefault="003E55D5" w:rsidP="003E55D5">
      <w:pPr>
        <w:rPr>
          <w:rFonts w:asciiTheme="minorHAnsi" w:hAnsiTheme="minorHAnsi" w:cstheme="minorHAnsi"/>
          <w:sz w:val="22"/>
        </w:rPr>
      </w:pPr>
    </w:p>
    <w:p w14:paraId="62CB3C68" w14:textId="46034CEF" w:rsidR="003E55D5" w:rsidRPr="00E3363B" w:rsidRDefault="003E55D5" w:rsidP="003E55D5">
      <w:pPr>
        <w:rPr>
          <w:rFonts w:asciiTheme="minorHAnsi" w:hAnsiTheme="minorHAnsi" w:cstheme="minorHAnsi"/>
          <w:b/>
          <w:iCs/>
          <w:sz w:val="22"/>
        </w:rPr>
      </w:pPr>
      <w:r w:rsidRPr="00E3363B">
        <w:rPr>
          <w:rFonts w:asciiTheme="minorHAnsi" w:hAnsiTheme="minorHAnsi" w:cstheme="minorHAnsi"/>
          <w:b/>
          <w:iCs/>
          <w:sz w:val="22"/>
        </w:rPr>
        <w:t>Teaching Support Reports available to School</w:t>
      </w:r>
      <w:r w:rsidR="00C65C45">
        <w:rPr>
          <w:rFonts w:asciiTheme="minorHAnsi" w:hAnsiTheme="minorHAnsi" w:cstheme="minorHAnsi"/>
          <w:b/>
          <w:iCs/>
          <w:sz w:val="22"/>
        </w:rPr>
        <w:t xml:space="preserve"> </w:t>
      </w:r>
      <w:r w:rsidRPr="00E3363B">
        <w:rPr>
          <w:rFonts w:asciiTheme="minorHAnsi" w:hAnsiTheme="minorHAnsi" w:cstheme="minorHAnsi"/>
          <w:b/>
          <w:iCs/>
          <w:sz w:val="22"/>
        </w:rPr>
        <w:t>/</w:t>
      </w:r>
      <w:r w:rsidR="00C65C45">
        <w:rPr>
          <w:rFonts w:asciiTheme="minorHAnsi" w:hAnsiTheme="minorHAnsi" w:cstheme="minorHAnsi"/>
          <w:b/>
          <w:iCs/>
          <w:sz w:val="22"/>
        </w:rPr>
        <w:t xml:space="preserve"> </w:t>
      </w:r>
      <w:r w:rsidRPr="00E3363B">
        <w:rPr>
          <w:rFonts w:asciiTheme="minorHAnsi" w:hAnsiTheme="minorHAnsi" w:cstheme="minorHAnsi"/>
          <w:b/>
          <w:iCs/>
          <w:sz w:val="22"/>
        </w:rPr>
        <w:t>Section Managers and TSR Approvers:</w:t>
      </w:r>
    </w:p>
    <w:tbl>
      <w:tblPr>
        <w:tblW w:w="0" w:type="auto"/>
        <w:tblLook w:val="04A0" w:firstRow="1" w:lastRow="0" w:firstColumn="1" w:lastColumn="0" w:noHBand="0" w:noVBand="1"/>
      </w:tblPr>
      <w:tblGrid>
        <w:gridCol w:w="1838"/>
        <w:gridCol w:w="7178"/>
      </w:tblGrid>
      <w:tr w:rsidR="003E55D5" w:rsidRPr="00767543" w14:paraId="3F62038B" w14:textId="77777777">
        <w:tc>
          <w:tcPr>
            <w:tcW w:w="1838" w:type="dxa"/>
            <w:shd w:val="clear" w:color="auto" w:fill="FFF2CC" w:themeFill="accent4" w:themeFillTint="33"/>
          </w:tcPr>
          <w:p w14:paraId="29D95B78" w14:textId="77777777"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Report </w:t>
            </w:r>
          </w:p>
        </w:tc>
        <w:tc>
          <w:tcPr>
            <w:tcW w:w="7178" w:type="dxa"/>
            <w:shd w:val="clear" w:color="auto" w:fill="FFF2CC" w:themeFill="accent4" w:themeFillTint="33"/>
          </w:tcPr>
          <w:p w14:paraId="1296D47A" w14:textId="77777777" w:rsidR="003E55D5" w:rsidRPr="00767543" w:rsidRDefault="003E55D5">
            <w:pPr>
              <w:rPr>
                <w:rFonts w:asciiTheme="minorHAnsi" w:hAnsiTheme="minorHAnsi" w:cstheme="minorHAnsi"/>
                <w:sz w:val="22"/>
              </w:rPr>
            </w:pPr>
            <w:r w:rsidRPr="00767543">
              <w:rPr>
                <w:rFonts w:asciiTheme="minorHAnsi" w:hAnsiTheme="minorHAnsi" w:cstheme="minorHAnsi"/>
                <w:sz w:val="22"/>
              </w:rPr>
              <w:t>Description</w:t>
            </w:r>
          </w:p>
        </w:tc>
      </w:tr>
      <w:tr w:rsidR="003E55D5" w:rsidRPr="00767543" w14:paraId="2CFA44B9" w14:textId="77777777">
        <w:tc>
          <w:tcPr>
            <w:tcW w:w="1838" w:type="dxa"/>
            <w:shd w:val="clear" w:color="auto" w:fill="auto"/>
          </w:tcPr>
          <w:p w14:paraId="2E2EC051" w14:textId="212D66C2"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My </w:t>
            </w:r>
            <w:r w:rsidR="001862E4">
              <w:rPr>
                <w:rFonts w:asciiTheme="minorHAnsi" w:hAnsiTheme="minorHAnsi" w:cstheme="minorHAnsi"/>
                <w:sz w:val="22"/>
              </w:rPr>
              <w:t>HPT</w:t>
            </w:r>
            <w:r w:rsidRPr="00767543">
              <w:rPr>
                <w:rFonts w:asciiTheme="minorHAnsi" w:hAnsiTheme="minorHAnsi" w:cstheme="minorHAnsi"/>
                <w:sz w:val="22"/>
              </w:rPr>
              <w:t>s</w:t>
            </w:r>
          </w:p>
        </w:tc>
        <w:tc>
          <w:tcPr>
            <w:tcW w:w="7178" w:type="dxa"/>
            <w:shd w:val="clear" w:color="auto" w:fill="auto"/>
          </w:tcPr>
          <w:p w14:paraId="5294AE94" w14:textId="131A8D2E"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Shows a summary of </w:t>
            </w:r>
            <w:r>
              <w:rPr>
                <w:rFonts w:asciiTheme="minorHAnsi" w:hAnsiTheme="minorHAnsi" w:cstheme="minorHAnsi"/>
                <w:sz w:val="22"/>
              </w:rPr>
              <w:t xml:space="preserve">contracts and </w:t>
            </w:r>
            <w:r w:rsidRPr="00767543">
              <w:rPr>
                <w:rFonts w:asciiTheme="minorHAnsi" w:hAnsiTheme="minorHAnsi" w:cstheme="minorHAnsi"/>
                <w:sz w:val="22"/>
              </w:rPr>
              <w:t>payments made to Teach</w:t>
            </w:r>
            <w:r>
              <w:rPr>
                <w:rFonts w:asciiTheme="minorHAnsi" w:hAnsiTheme="minorHAnsi" w:cstheme="minorHAnsi"/>
                <w:sz w:val="22"/>
              </w:rPr>
              <w:t>ing Support Staff</w:t>
            </w:r>
            <w:r w:rsidRPr="00767543">
              <w:rPr>
                <w:rFonts w:asciiTheme="minorHAnsi" w:hAnsiTheme="minorHAnsi" w:cstheme="minorHAnsi"/>
                <w:sz w:val="22"/>
              </w:rPr>
              <w:t xml:space="preserve"> (one row per </w:t>
            </w:r>
            <w:r>
              <w:rPr>
                <w:rFonts w:asciiTheme="minorHAnsi" w:hAnsiTheme="minorHAnsi" w:cstheme="minorHAnsi"/>
                <w:sz w:val="22"/>
              </w:rPr>
              <w:t>TSR</w:t>
            </w:r>
            <w:r w:rsidRPr="00767543">
              <w:rPr>
                <w:rFonts w:asciiTheme="minorHAnsi" w:hAnsiTheme="minorHAnsi" w:cstheme="minorHAnsi"/>
                <w:sz w:val="22"/>
              </w:rPr>
              <w:t xml:space="preserve"> Contract), for each Resource employed in a</w:t>
            </w:r>
            <w:r>
              <w:rPr>
                <w:rFonts w:asciiTheme="minorHAnsi" w:hAnsiTheme="minorHAnsi" w:cstheme="minorHAnsi"/>
                <w:sz w:val="22"/>
              </w:rPr>
              <w:t xml:space="preserve"> TSR</w:t>
            </w:r>
            <w:r w:rsidRPr="00767543">
              <w:rPr>
                <w:rFonts w:asciiTheme="minorHAnsi" w:hAnsiTheme="minorHAnsi" w:cstheme="minorHAnsi"/>
                <w:sz w:val="22"/>
              </w:rPr>
              <w:t xml:space="preserve"> position in a School/Section.</w:t>
            </w:r>
            <w:r>
              <w:rPr>
                <w:rFonts w:asciiTheme="minorHAnsi" w:hAnsiTheme="minorHAnsi" w:cstheme="minorHAnsi"/>
                <w:sz w:val="22"/>
              </w:rPr>
              <w:t xml:space="preserve"> Includes current TSR contracts plus those that have ended within the past 12 months. </w:t>
            </w:r>
            <w:r w:rsidRPr="00767543">
              <w:rPr>
                <w:rFonts w:asciiTheme="minorHAnsi" w:hAnsiTheme="minorHAnsi" w:cstheme="minorHAnsi"/>
                <w:sz w:val="22"/>
              </w:rPr>
              <w:t xml:space="preserve"> </w:t>
            </w:r>
          </w:p>
        </w:tc>
      </w:tr>
      <w:tr w:rsidR="003E55D5" w:rsidRPr="00767543" w14:paraId="7B444AE3" w14:textId="77777777">
        <w:tc>
          <w:tcPr>
            <w:tcW w:w="1838" w:type="dxa"/>
            <w:shd w:val="clear" w:color="auto" w:fill="auto"/>
          </w:tcPr>
          <w:p w14:paraId="182B48B2" w14:textId="7E122F22"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My </w:t>
            </w:r>
            <w:r w:rsidR="001862E4">
              <w:rPr>
                <w:rFonts w:asciiTheme="minorHAnsi" w:hAnsiTheme="minorHAnsi" w:cstheme="minorHAnsi"/>
                <w:sz w:val="22"/>
              </w:rPr>
              <w:t>HPT</w:t>
            </w:r>
            <w:r w:rsidRPr="00767543">
              <w:rPr>
                <w:rFonts w:asciiTheme="minorHAnsi" w:hAnsiTheme="minorHAnsi" w:cstheme="minorHAnsi"/>
                <w:sz w:val="22"/>
              </w:rPr>
              <w:t xml:space="preserve"> Contract Details</w:t>
            </w:r>
          </w:p>
        </w:tc>
        <w:tc>
          <w:tcPr>
            <w:tcW w:w="7178" w:type="dxa"/>
            <w:shd w:val="clear" w:color="auto" w:fill="auto"/>
          </w:tcPr>
          <w:p w14:paraId="4F90A62F" w14:textId="4F8FDBD1"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Shows details of </w:t>
            </w:r>
            <w:r>
              <w:rPr>
                <w:rFonts w:asciiTheme="minorHAnsi" w:hAnsiTheme="minorHAnsi" w:cstheme="minorHAnsi"/>
                <w:sz w:val="22"/>
              </w:rPr>
              <w:t>Teaching Support Staff</w:t>
            </w:r>
            <w:r w:rsidRPr="00767543">
              <w:rPr>
                <w:rFonts w:asciiTheme="minorHAnsi" w:hAnsiTheme="minorHAnsi" w:cstheme="minorHAnsi"/>
                <w:sz w:val="22"/>
              </w:rPr>
              <w:t xml:space="preserve"> contracts (one row per </w:t>
            </w:r>
            <w:r>
              <w:rPr>
                <w:rFonts w:asciiTheme="minorHAnsi" w:hAnsiTheme="minorHAnsi" w:cstheme="minorHAnsi"/>
                <w:sz w:val="22"/>
              </w:rPr>
              <w:t>TSR</w:t>
            </w:r>
            <w:r w:rsidRPr="00767543">
              <w:rPr>
                <w:rFonts w:asciiTheme="minorHAnsi" w:hAnsiTheme="minorHAnsi" w:cstheme="minorHAnsi"/>
                <w:sz w:val="22"/>
              </w:rPr>
              <w:t xml:space="preserve"> </w:t>
            </w:r>
            <w:r w:rsidR="00C65C45">
              <w:rPr>
                <w:rFonts w:asciiTheme="minorHAnsi" w:hAnsiTheme="minorHAnsi" w:cstheme="minorHAnsi"/>
                <w:sz w:val="22"/>
              </w:rPr>
              <w:t>c</w:t>
            </w:r>
            <w:r w:rsidRPr="00767543">
              <w:rPr>
                <w:rFonts w:asciiTheme="minorHAnsi" w:hAnsiTheme="minorHAnsi" w:cstheme="minorHAnsi"/>
                <w:sz w:val="22"/>
              </w:rPr>
              <w:t xml:space="preserve">ontract), for each </w:t>
            </w:r>
            <w:r>
              <w:rPr>
                <w:rFonts w:asciiTheme="minorHAnsi" w:hAnsiTheme="minorHAnsi" w:cstheme="minorHAnsi"/>
                <w:sz w:val="22"/>
              </w:rPr>
              <w:t>Teaching Support</w:t>
            </w:r>
            <w:r w:rsidRPr="00767543">
              <w:rPr>
                <w:rFonts w:asciiTheme="minorHAnsi" w:hAnsiTheme="minorHAnsi" w:cstheme="minorHAnsi"/>
                <w:sz w:val="22"/>
              </w:rPr>
              <w:t xml:space="preserve"> contract in a School/Section.  </w:t>
            </w:r>
            <w:r>
              <w:rPr>
                <w:rFonts w:asciiTheme="minorHAnsi" w:hAnsiTheme="minorHAnsi" w:cstheme="minorHAnsi"/>
                <w:sz w:val="22"/>
              </w:rPr>
              <w:t xml:space="preserve">By default, includes current TSR contracts plus those that have ended within the past 12 months, </w:t>
            </w:r>
            <w:r>
              <w:rPr>
                <w:rFonts w:asciiTheme="minorHAnsi" w:hAnsiTheme="minorHAnsi" w:cstheme="minorHAnsi"/>
                <w:sz w:val="22"/>
              </w:rPr>
              <w:lastRenderedPageBreak/>
              <w:t xml:space="preserve">but the ‘Contract End Date’ criteria can be amended when running the report to include current contracts only. </w:t>
            </w:r>
            <w:r w:rsidRPr="00767543">
              <w:rPr>
                <w:rFonts w:asciiTheme="minorHAnsi" w:hAnsiTheme="minorHAnsi" w:cstheme="minorHAnsi"/>
                <w:sz w:val="22"/>
              </w:rPr>
              <w:t xml:space="preserve"> </w:t>
            </w:r>
          </w:p>
        </w:tc>
      </w:tr>
      <w:tr w:rsidR="003E55D5" w:rsidRPr="00767543" w14:paraId="14910ACD" w14:textId="77777777">
        <w:tc>
          <w:tcPr>
            <w:tcW w:w="1838" w:type="dxa"/>
            <w:shd w:val="clear" w:color="auto" w:fill="auto"/>
          </w:tcPr>
          <w:p w14:paraId="05F9E34D" w14:textId="6717B6C2" w:rsidR="003E55D5" w:rsidRPr="00767543" w:rsidRDefault="003E55D5">
            <w:pPr>
              <w:rPr>
                <w:rFonts w:asciiTheme="minorHAnsi" w:hAnsiTheme="minorHAnsi" w:cstheme="minorHAnsi"/>
                <w:sz w:val="22"/>
              </w:rPr>
            </w:pPr>
            <w:r w:rsidRPr="00767543">
              <w:rPr>
                <w:rFonts w:asciiTheme="minorHAnsi" w:hAnsiTheme="minorHAnsi" w:cstheme="minorHAnsi"/>
                <w:sz w:val="22"/>
              </w:rPr>
              <w:lastRenderedPageBreak/>
              <w:t xml:space="preserve">My </w:t>
            </w:r>
            <w:r w:rsidR="001862E4">
              <w:rPr>
                <w:rFonts w:asciiTheme="minorHAnsi" w:hAnsiTheme="minorHAnsi" w:cstheme="minorHAnsi"/>
                <w:sz w:val="22"/>
              </w:rPr>
              <w:t>HPT</w:t>
            </w:r>
            <w:r w:rsidRPr="00767543">
              <w:rPr>
                <w:rFonts w:asciiTheme="minorHAnsi" w:hAnsiTheme="minorHAnsi" w:cstheme="minorHAnsi"/>
                <w:sz w:val="22"/>
              </w:rPr>
              <w:t xml:space="preserve"> </w:t>
            </w:r>
            <w:r w:rsidR="001862E4">
              <w:rPr>
                <w:rFonts w:asciiTheme="minorHAnsi" w:hAnsiTheme="minorHAnsi" w:cstheme="minorHAnsi"/>
                <w:sz w:val="22"/>
              </w:rPr>
              <w:t xml:space="preserve">Contract </w:t>
            </w:r>
            <w:r w:rsidRPr="00767543">
              <w:rPr>
                <w:rFonts w:asciiTheme="minorHAnsi" w:hAnsiTheme="minorHAnsi" w:cstheme="minorHAnsi"/>
                <w:sz w:val="22"/>
              </w:rPr>
              <w:t>Payment Details</w:t>
            </w:r>
          </w:p>
        </w:tc>
        <w:tc>
          <w:tcPr>
            <w:tcW w:w="7178" w:type="dxa"/>
            <w:shd w:val="clear" w:color="auto" w:fill="auto"/>
          </w:tcPr>
          <w:p w14:paraId="5E91A5C3" w14:textId="7CA6D6E1"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Shows details of each </w:t>
            </w:r>
            <w:r>
              <w:rPr>
                <w:rFonts w:asciiTheme="minorHAnsi" w:hAnsiTheme="minorHAnsi" w:cstheme="minorHAnsi"/>
                <w:sz w:val="22"/>
              </w:rPr>
              <w:t xml:space="preserve">monthly </w:t>
            </w:r>
            <w:r w:rsidRPr="00767543">
              <w:rPr>
                <w:rFonts w:asciiTheme="minorHAnsi" w:hAnsiTheme="minorHAnsi" w:cstheme="minorHAnsi"/>
                <w:sz w:val="22"/>
              </w:rPr>
              <w:t xml:space="preserve">payment made to an </w:t>
            </w:r>
            <w:r>
              <w:rPr>
                <w:rFonts w:asciiTheme="minorHAnsi" w:hAnsiTheme="minorHAnsi" w:cstheme="minorHAnsi"/>
                <w:sz w:val="22"/>
              </w:rPr>
              <w:t>individual</w:t>
            </w:r>
            <w:r w:rsidRPr="00767543">
              <w:rPr>
                <w:rFonts w:asciiTheme="minorHAnsi" w:hAnsiTheme="minorHAnsi" w:cstheme="minorHAnsi"/>
                <w:sz w:val="22"/>
              </w:rPr>
              <w:t xml:space="preserve"> within a specific </w:t>
            </w:r>
            <w:r>
              <w:rPr>
                <w:rFonts w:asciiTheme="minorHAnsi" w:hAnsiTheme="minorHAnsi" w:cstheme="minorHAnsi"/>
                <w:sz w:val="22"/>
              </w:rPr>
              <w:t>TSR</w:t>
            </w:r>
            <w:r w:rsidRPr="00767543">
              <w:rPr>
                <w:rFonts w:asciiTheme="minorHAnsi" w:hAnsiTheme="minorHAnsi" w:cstheme="minorHAnsi"/>
                <w:sz w:val="22"/>
              </w:rPr>
              <w:t xml:space="preserve"> contract, for each </w:t>
            </w:r>
            <w:r>
              <w:rPr>
                <w:rFonts w:asciiTheme="minorHAnsi" w:hAnsiTheme="minorHAnsi" w:cstheme="minorHAnsi"/>
                <w:sz w:val="22"/>
              </w:rPr>
              <w:t>TSR</w:t>
            </w:r>
            <w:r w:rsidRPr="00767543">
              <w:rPr>
                <w:rFonts w:asciiTheme="minorHAnsi" w:hAnsiTheme="minorHAnsi" w:cstheme="minorHAnsi"/>
                <w:sz w:val="22"/>
              </w:rPr>
              <w:t xml:space="preserve"> contract in a School/Section. </w:t>
            </w:r>
            <w:r>
              <w:rPr>
                <w:rFonts w:asciiTheme="minorHAnsi" w:hAnsiTheme="minorHAnsi" w:cstheme="minorHAnsi"/>
                <w:sz w:val="22"/>
              </w:rPr>
              <w:t xml:space="preserve">By default, includes current contracts plus those that have ended within the past 12 months, but the ‘Contract End Date’ criteria can be amended when running the report to include current contracts only. </w:t>
            </w:r>
            <w:r w:rsidRPr="00767543">
              <w:rPr>
                <w:rFonts w:asciiTheme="minorHAnsi" w:hAnsiTheme="minorHAnsi" w:cstheme="minorHAnsi"/>
                <w:sz w:val="22"/>
              </w:rPr>
              <w:t xml:space="preserve"> </w:t>
            </w:r>
          </w:p>
        </w:tc>
      </w:tr>
      <w:tr w:rsidR="003E55D5" w:rsidRPr="00767543" w14:paraId="719E0142" w14:textId="77777777">
        <w:tc>
          <w:tcPr>
            <w:tcW w:w="1838" w:type="dxa"/>
            <w:shd w:val="clear" w:color="auto" w:fill="auto"/>
          </w:tcPr>
          <w:p w14:paraId="1B580F99" w14:textId="4CF41FCD"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My </w:t>
            </w:r>
            <w:r w:rsidR="001862E4">
              <w:rPr>
                <w:rFonts w:asciiTheme="minorHAnsi" w:hAnsiTheme="minorHAnsi" w:cstheme="minorHAnsi"/>
                <w:sz w:val="22"/>
              </w:rPr>
              <w:t>HPT</w:t>
            </w:r>
            <w:r w:rsidRPr="00767543">
              <w:rPr>
                <w:rFonts w:asciiTheme="minorHAnsi" w:hAnsiTheme="minorHAnsi" w:cstheme="minorHAnsi"/>
                <w:sz w:val="22"/>
              </w:rPr>
              <w:t xml:space="preserve"> VISA Details</w:t>
            </w:r>
          </w:p>
        </w:tc>
        <w:tc>
          <w:tcPr>
            <w:tcW w:w="7178" w:type="dxa"/>
            <w:shd w:val="clear" w:color="auto" w:fill="auto"/>
          </w:tcPr>
          <w:p w14:paraId="1C5B321B" w14:textId="77777777" w:rsidR="003E55D5" w:rsidRPr="00767543" w:rsidRDefault="003E55D5">
            <w:pPr>
              <w:rPr>
                <w:rFonts w:asciiTheme="minorHAnsi" w:hAnsiTheme="minorHAnsi" w:cstheme="minorHAnsi"/>
                <w:sz w:val="22"/>
              </w:rPr>
            </w:pPr>
            <w:r w:rsidRPr="00767543">
              <w:rPr>
                <w:rFonts w:asciiTheme="minorHAnsi" w:hAnsiTheme="minorHAnsi" w:cstheme="minorHAnsi"/>
                <w:sz w:val="22"/>
              </w:rPr>
              <w:t xml:space="preserve">Shows work visa details for </w:t>
            </w:r>
            <w:r>
              <w:rPr>
                <w:rFonts w:asciiTheme="minorHAnsi" w:hAnsiTheme="minorHAnsi" w:cstheme="minorHAnsi"/>
                <w:sz w:val="22"/>
              </w:rPr>
              <w:t>Teaching Support Staff</w:t>
            </w:r>
            <w:r w:rsidRPr="00767543">
              <w:rPr>
                <w:rFonts w:asciiTheme="minorHAnsi" w:hAnsiTheme="minorHAnsi" w:cstheme="minorHAnsi"/>
                <w:sz w:val="22"/>
              </w:rPr>
              <w:t xml:space="preserve"> (one row per resource), for each </w:t>
            </w:r>
            <w:r>
              <w:rPr>
                <w:rFonts w:asciiTheme="minorHAnsi" w:hAnsiTheme="minorHAnsi" w:cstheme="minorHAnsi"/>
                <w:sz w:val="22"/>
              </w:rPr>
              <w:t>individual</w:t>
            </w:r>
            <w:r w:rsidRPr="00767543">
              <w:rPr>
                <w:rFonts w:asciiTheme="minorHAnsi" w:hAnsiTheme="minorHAnsi" w:cstheme="minorHAnsi"/>
                <w:sz w:val="22"/>
              </w:rPr>
              <w:t xml:space="preserve"> with a contract in a School/Section.  </w:t>
            </w:r>
          </w:p>
        </w:tc>
      </w:tr>
      <w:tr w:rsidR="003E55D5" w:rsidRPr="00767543" w14:paraId="3F18D2A7" w14:textId="77777777">
        <w:tc>
          <w:tcPr>
            <w:tcW w:w="1838" w:type="dxa"/>
            <w:shd w:val="clear" w:color="auto" w:fill="auto"/>
          </w:tcPr>
          <w:p w14:paraId="55A33DCE" w14:textId="2B0A75A9" w:rsidR="003E55D5" w:rsidRPr="00767543" w:rsidRDefault="003E55D5">
            <w:pPr>
              <w:rPr>
                <w:rFonts w:asciiTheme="minorHAnsi" w:hAnsiTheme="minorHAnsi" w:cstheme="minorHAnsi"/>
                <w:sz w:val="22"/>
              </w:rPr>
            </w:pPr>
            <w:r>
              <w:rPr>
                <w:rFonts w:asciiTheme="minorHAnsi" w:hAnsiTheme="minorHAnsi" w:cstheme="minorHAnsi"/>
                <w:sz w:val="22"/>
              </w:rPr>
              <w:t xml:space="preserve">Forms – </w:t>
            </w:r>
            <w:r w:rsidR="001862E4">
              <w:rPr>
                <w:rFonts w:asciiTheme="minorHAnsi" w:hAnsiTheme="minorHAnsi" w:cstheme="minorHAnsi"/>
                <w:sz w:val="22"/>
              </w:rPr>
              <w:t>HPT</w:t>
            </w:r>
            <w:r>
              <w:rPr>
                <w:rFonts w:asciiTheme="minorHAnsi" w:hAnsiTheme="minorHAnsi" w:cstheme="minorHAnsi"/>
                <w:sz w:val="22"/>
              </w:rPr>
              <w:t xml:space="preserve"> Claims (Org)</w:t>
            </w:r>
          </w:p>
        </w:tc>
        <w:tc>
          <w:tcPr>
            <w:tcW w:w="7178" w:type="dxa"/>
            <w:shd w:val="clear" w:color="auto" w:fill="auto"/>
          </w:tcPr>
          <w:p w14:paraId="7286F959" w14:textId="4B50ACA9" w:rsidR="003E55D5" w:rsidRPr="00767543" w:rsidRDefault="003E55D5">
            <w:pPr>
              <w:rPr>
                <w:rFonts w:asciiTheme="minorHAnsi" w:hAnsiTheme="minorHAnsi" w:cstheme="minorHAnsi"/>
                <w:sz w:val="22"/>
              </w:rPr>
            </w:pPr>
            <w:r>
              <w:rPr>
                <w:rFonts w:asciiTheme="minorHAnsi" w:hAnsiTheme="minorHAnsi" w:cstheme="minorHAnsi"/>
                <w:sz w:val="22"/>
              </w:rPr>
              <w:t>Shows all TSR Claim Forms submitted in MyERP by Teaching Support Roles with a contract in a School/Section.</w:t>
            </w:r>
          </w:p>
        </w:tc>
      </w:tr>
    </w:tbl>
    <w:p w14:paraId="36562C4E" w14:textId="77777777" w:rsidR="003E55D5" w:rsidRDefault="003E55D5" w:rsidP="003E55D5">
      <w:pPr>
        <w:pStyle w:val="Heading1"/>
      </w:pPr>
      <w:bookmarkStart w:id="30" w:name="_Toc177982938"/>
      <w:r>
        <w:lastRenderedPageBreak/>
        <w:t>Appendix</w:t>
      </w:r>
      <w:bookmarkEnd w:id="30"/>
    </w:p>
    <w:p w14:paraId="22EE8BCC" w14:textId="77777777" w:rsidR="003E55D5" w:rsidRDefault="003E55D5" w:rsidP="003E55D5"/>
    <w:p w14:paraId="3475D452" w14:textId="77777777" w:rsidR="003E55D5" w:rsidRDefault="003E55D5" w:rsidP="003E55D5">
      <w:pPr>
        <w:pStyle w:val="Heading2"/>
        <w:rPr>
          <w:rFonts w:ascii="Arial" w:hAnsi="Arial" w:cs="Arial"/>
        </w:rPr>
      </w:pPr>
      <w:bookmarkStart w:id="31" w:name="_Toc177982939"/>
      <w:r>
        <w:rPr>
          <w:rFonts w:ascii="Arial" w:hAnsi="Arial" w:cs="Arial"/>
        </w:rPr>
        <w:t>Supporting Teaching Support Staff</w:t>
      </w:r>
      <w:bookmarkStart w:id="32" w:name="_Toc516658050"/>
      <w:bookmarkEnd w:id="31"/>
    </w:p>
    <w:p w14:paraId="35A0443B" w14:textId="3CA0BECF" w:rsidR="00E07616" w:rsidRDefault="003E55D5" w:rsidP="003E55D5">
      <w:pPr>
        <w:rPr>
          <w:rStyle w:val="Hyperlink"/>
          <w:rFonts w:asciiTheme="minorHAnsi" w:hAnsiTheme="minorHAnsi" w:cstheme="minorHAnsi"/>
          <w:sz w:val="22"/>
        </w:rPr>
      </w:pPr>
      <w:r w:rsidRPr="001862E4">
        <w:rPr>
          <w:rFonts w:asciiTheme="minorHAnsi" w:hAnsiTheme="minorHAnsi" w:cstheme="minorHAnsi"/>
          <w:sz w:val="22"/>
        </w:rPr>
        <w:t xml:space="preserve">Many </w:t>
      </w:r>
      <w:r w:rsidR="00E3363B" w:rsidRPr="001862E4">
        <w:rPr>
          <w:rFonts w:asciiTheme="minorHAnsi" w:hAnsiTheme="minorHAnsi" w:cstheme="minorHAnsi"/>
          <w:sz w:val="22"/>
        </w:rPr>
        <w:t xml:space="preserve">TSRs </w:t>
      </w:r>
      <w:r w:rsidRPr="001862E4">
        <w:rPr>
          <w:rFonts w:asciiTheme="minorHAnsi" w:hAnsiTheme="minorHAnsi" w:cstheme="minorHAnsi"/>
          <w:sz w:val="22"/>
        </w:rPr>
        <w:t xml:space="preserve">are </w:t>
      </w:r>
      <w:r w:rsidRPr="00864D97">
        <w:rPr>
          <w:rFonts w:asciiTheme="minorHAnsi" w:hAnsiTheme="minorHAnsi" w:cstheme="minorHAnsi"/>
          <w:sz w:val="22"/>
        </w:rPr>
        <w:t xml:space="preserve">PGR students who may be new to teaching. Academic Staff Development offer </w:t>
      </w:r>
      <w:r w:rsidR="00CE3179" w:rsidRPr="00864D97">
        <w:rPr>
          <w:rFonts w:asciiTheme="minorHAnsi" w:hAnsiTheme="minorHAnsi" w:cstheme="minorHAnsi"/>
          <w:sz w:val="22"/>
        </w:rPr>
        <w:t>l</w:t>
      </w:r>
      <w:r w:rsidRPr="00864D97">
        <w:rPr>
          <w:rFonts w:asciiTheme="minorHAnsi" w:hAnsiTheme="minorHAnsi" w:cstheme="minorHAnsi"/>
          <w:sz w:val="22"/>
        </w:rPr>
        <w:t xml:space="preserve">earning and </w:t>
      </w:r>
      <w:r w:rsidR="00CE3179" w:rsidRPr="00864D97">
        <w:rPr>
          <w:rFonts w:asciiTheme="minorHAnsi" w:hAnsiTheme="minorHAnsi" w:cstheme="minorHAnsi"/>
          <w:sz w:val="22"/>
        </w:rPr>
        <w:t>t</w:t>
      </w:r>
      <w:r w:rsidRPr="00864D97">
        <w:rPr>
          <w:rFonts w:asciiTheme="minorHAnsi" w:hAnsiTheme="minorHAnsi" w:cstheme="minorHAnsi"/>
          <w:sz w:val="22"/>
        </w:rPr>
        <w:t>eaching workshops such as ‘</w:t>
      </w:r>
      <w:r w:rsidR="00467FA3" w:rsidRPr="00864D97">
        <w:rPr>
          <w:rFonts w:asciiTheme="minorHAnsi" w:hAnsiTheme="minorHAnsi" w:cstheme="minorHAnsi"/>
          <w:sz w:val="22"/>
        </w:rPr>
        <w:t xml:space="preserve">Introduction to HE </w:t>
      </w:r>
      <w:r w:rsidRPr="00864D97">
        <w:rPr>
          <w:rFonts w:asciiTheme="minorHAnsi" w:hAnsiTheme="minorHAnsi" w:cstheme="minorHAnsi"/>
          <w:sz w:val="22"/>
        </w:rPr>
        <w:t>Teach</w:t>
      </w:r>
      <w:r w:rsidR="00467FA3" w:rsidRPr="00864D97">
        <w:rPr>
          <w:rFonts w:asciiTheme="minorHAnsi" w:hAnsiTheme="minorHAnsi" w:cstheme="minorHAnsi"/>
          <w:sz w:val="22"/>
        </w:rPr>
        <w:t>ing’</w:t>
      </w:r>
      <w:r w:rsidRPr="00864D97">
        <w:rPr>
          <w:rFonts w:asciiTheme="minorHAnsi" w:hAnsiTheme="minorHAnsi" w:cstheme="minorHAnsi"/>
          <w:sz w:val="22"/>
        </w:rPr>
        <w:t xml:space="preserve"> which </w:t>
      </w:r>
      <w:r w:rsidR="00CE3179" w:rsidRPr="00864D97">
        <w:rPr>
          <w:rFonts w:asciiTheme="minorHAnsi" w:hAnsiTheme="minorHAnsi" w:cstheme="minorHAnsi"/>
          <w:sz w:val="22"/>
        </w:rPr>
        <w:t>is</w:t>
      </w:r>
      <w:r w:rsidRPr="00864D97">
        <w:rPr>
          <w:rFonts w:asciiTheme="minorHAnsi" w:hAnsiTheme="minorHAnsi" w:cstheme="minorHAnsi"/>
          <w:sz w:val="22"/>
        </w:rPr>
        <w:t xml:space="preserve"> appropriate for new Teaching Support Staff. See the </w:t>
      </w:r>
      <w:r w:rsidR="00467FA3" w:rsidRPr="00864D97">
        <w:rPr>
          <w:rFonts w:asciiTheme="minorHAnsi" w:hAnsiTheme="minorHAnsi" w:cstheme="minorHAnsi"/>
          <w:sz w:val="22"/>
        </w:rPr>
        <w:t>Bristol Institute for Learning &amp; Teaching (BILT)</w:t>
      </w:r>
      <w:r w:rsidRPr="00864D97">
        <w:rPr>
          <w:rFonts w:asciiTheme="minorHAnsi" w:hAnsiTheme="minorHAnsi" w:cstheme="minorHAnsi"/>
          <w:sz w:val="22"/>
        </w:rPr>
        <w:t xml:space="preserve"> website at</w:t>
      </w:r>
      <w:hyperlink r:id="rId29" w:history="1">
        <w:r w:rsidRPr="00864D97">
          <w:rPr>
            <w:rStyle w:val="Hyperlink"/>
            <w:rFonts w:asciiTheme="minorHAnsi" w:hAnsiTheme="minorHAnsi" w:cstheme="minorHAnsi"/>
            <w:sz w:val="22"/>
          </w:rPr>
          <w:t xml:space="preserve"> </w:t>
        </w:r>
        <w:r w:rsidR="00467FA3" w:rsidRPr="00864D97">
          <w:rPr>
            <w:rStyle w:val="Hyperlink"/>
            <w:rFonts w:asciiTheme="minorHAnsi" w:hAnsiTheme="minorHAnsi" w:cstheme="minorHAnsi"/>
            <w:sz w:val="22"/>
          </w:rPr>
          <w:t>PGRs | Bristol Institute For Learning and Teaching | University of Bristol</w:t>
        </w:r>
      </w:hyperlink>
      <w:r w:rsidR="00E3363B" w:rsidRPr="001862E4">
        <w:t>.</w:t>
      </w:r>
      <w:r w:rsidR="00E07616" w:rsidRPr="001862E4">
        <w:rPr>
          <w:rFonts w:asciiTheme="minorHAnsi" w:hAnsiTheme="minorHAnsi" w:cstheme="minorHAnsi"/>
          <w:sz w:val="22"/>
        </w:rPr>
        <w:t xml:space="preserve"> The BILT </w:t>
      </w:r>
      <w:hyperlink r:id="rId30" w:history="1">
        <w:r w:rsidR="00E07616" w:rsidRPr="001862E4">
          <w:rPr>
            <w:rStyle w:val="Hyperlink"/>
            <w:rFonts w:asciiTheme="minorHAnsi" w:hAnsiTheme="minorHAnsi" w:cstheme="minorHAnsi"/>
            <w:sz w:val="22"/>
          </w:rPr>
          <w:t>Introduction to Teaching</w:t>
        </w:r>
      </w:hyperlink>
      <w:r w:rsidR="00E07616" w:rsidRPr="001862E4">
        <w:rPr>
          <w:rFonts w:asciiTheme="minorHAnsi" w:hAnsiTheme="minorHAnsi" w:cstheme="minorHAnsi"/>
          <w:sz w:val="22"/>
        </w:rPr>
        <w:t xml:space="preserve"> is a blended course that is usually held in September and January. </w:t>
      </w:r>
      <w:r w:rsidR="00CC4FB7" w:rsidRPr="001862E4">
        <w:rPr>
          <w:rFonts w:asciiTheme="minorHAnsi" w:hAnsiTheme="minorHAnsi" w:cstheme="minorHAnsi"/>
          <w:sz w:val="22"/>
        </w:rPr>
        <w:t>However,</w:t>
      </w:r>
      <w:r w:rsidR="00E07616" w:rsidRPr="001862E4">
        <w:rPr>
          <w:rFonts w:asciiTheme="minorHAnsi" w:hAnsiTheme="minorHAnsi" w:cstheme="minorHAnsi"/>
          <w:sz w:val="22"/>
        </w:rPr>
        <w:t xml:space="preserve"> the course has asynchronous options so TSRs who are contracted after the live runs of the course will be able to access and complete the course online via the asynchronous route.</w:t>
      </w:r>
    </w:p>
    <w:p w14:paraId="7D667F42" w14:textId="1DA5B250" w:rsidR="003E55D5" w:rsidRPr="001862E4" w:rsidRDefault="003E55D5" w:rsidP="003E55D5">
      <w:pPr>
        <w:rPr>
          <w:rFonts w:asciiTheme="minorHAnsi" w:hAnsiTheme="minorHAnsi" w:cstheme="minorHAnsi"/>
          <w:sz w:val="22"/>
        </w:rPr>
      </w:pPr>
      <w:r w:rsidRPr="001862E4">
        <w:rPr>
          <w:rFonts w:asciiTheme="minorHAnsi" w:hAnsiTheme="minorHAnsi" w:cstheme="minorHAnsi"/>
          <w:sz w:val="22"/>
        </w:rPr>
        <w:t xml:space="preserve">Schools </w:t>
      </w:r>
      <w:r w:rsidR="00CE3179" w:rsidRPr="001862E4">
        <w:rPr>
          <w:rFonts w:asciiTheme="minorHAnsi" w:hAnsiTheme="minorHAnsi" w:cstheme="minorHAnsi"/>
          <w:sz w:val="22"/>
        </w:rPr>
        <w:t>should al</w:t>
      </w:r>
      <w:r w:rsidRPr="001862E4">
        <w:rPr>
          <w:rFonts w:asciiTheme="minorHAnsi" w:hAnsiTheme="minorHAnsi" w:cstheme="minorHAnsi"/>
          <w:sz w:val="22"/>
        </w:rPr>
        <w:t xml:space="preserve">so </w:t>
      </w:r>
      <w:r w:rsidR="00CE3179" w:rsidRPr="001862E4">
        <w:rPr>
          <w:rFonts w:asciiTheme="minorHAnsi" w:hAnsiTheme="minorHAnsi" w:cstheme="minorHAnsi"/>
          <w:sz w:val="22"/>
        </w:rPr>
        <w:t>offer</w:t>
      </w:r>
      <w:r w:rsidRPr="001862E4">
        <w:rPr>
          <w:rFonts w:asciiTheme="minorHAnsi" w:hAnsiTheme="minorHAnsi" w:cstheme="minorHAnsi"/>
          <w:sz w:val="22"/>
        </w:rPr>
        <w:t xml:space="preserve"> </w:t>
      </w:r>
      <w:r w:rsidR="00CE3179" w:rsidRPr="001862E4">
        <w:rPr>
          <w:rFonts w:asciiTheme="minorHAnsi" w:hAnsiTheme="minorHAnsi" w:cstheme="minorHAnsi"/>
          <w:sz w:val="22"/>
        </w:rPr>
        <w:t xml:space="preserve">informal </w:t>
      </w:r>
      <w:r w:rsidRPr="001862E4">
        <w:rPr>
          <w:rFonts w:asciiTheme="minorHAnsi" w:hAnsiTheme="minorHAnsi" w:cstheme="minorHAnsi"/>
          <w:sz w:val="22"/>
        </w:rPr>
        <w:t xml:space="preserve">sessions and/or drop-in sessions to support new </w:t>
      </w:r>
      <w:r w:rsidR="00E3363B" w:rsidRPr="001862E4">
        <w:rPr>
          <w:rFonts w:asciiTheme="minorHAnsi" w:hAnsiTheme="minorHAnsi" w:cstheme="minorHAnsi"/>
          <w:sz w:val="22"/>
        </w:rPr>
        <w:t>TSRs</w:t>
      </w:r>
      <w:r w:rsidR="00DB769E" w:rsidRPr="001862E4">
        <w:rPr>
          <w:rFonts w:asciiTheme="minorHAnsi" w:hAnsiTheme="minorHAnsi" w:cstheme="minorHAnsi"/>
          <w:sz w:val="22"/>
        </w:rPr>
        <w:t>, for example</w:t>
      </w:r>
      <w:r w:rsidR="00E3363B" w:rsidRPr="001862E4">
        <w:rPr>
          <w:rFonts w:asciiTheme="minorHAnsi" w:hAnsiTheme="minorHAnsi" w:cstheme="minorHAnsi"/>
          <w:sz w:val="22"/>
        </w:rPr>
        <w:t xml:space="preserve"> </w:t>
      </w:r>
      <w:r w:rsidRPr="001862E4">
        <w:rPr>
          <w:rFonts w:asciiTheme="minorHAnsi" w:hAnsiTheme="minorHAnsi" w:cstheme="minorHAnsi"/>
          <w:sz w:val="22"/>
        </w:rPr>
        <w:t>help with submitting claims, local departmental processes, etc, if it is felt that this would be beneficial to Teaching Support Staff in the School.</w:t>
      </w:r>
      <w:bookmarkEnd w:id="32"/>
    </w:p>
    <w:p w14:paraId="602CFDD0" w14:textId="77777777" w:rsidR="003E55D5" w:rsidRPr="00C40211" w:rsidRDefault="003E55D5" w:rsidP="003E55D5">
      <w:pPr>
        <w:rPr>
          <w:rFonts w:ascii="Arial" w:hAnsi="Arial" w:cs="Arial"/>
        </w:rPr>
      </w:pPr>
    </w:p>
    <w:p w14:paraId="3911F1B3" w14:textId="77777777" w:rsidR="003E55D5" w:rsidRPr="00C40211" w:rsidRDefault="003E55D5" w:rsidP="003E55D5">
      <w:pPr>
        <w:rPr>
          <w:rFonts w:ascii="Arial" w:hAnsi="Arial" w:cs="Arial"/>
        </w:rPr>
      </w:pPr>
    </w:p>
    <w:p w14:paraId="00723167" w14:textId="77777777" w:rsidR="003E55D5" w:rsidRPr="00F67F11" w:rsidRDefault="003E55D5" w:rsidP="003E55D5"/>
    <w:p w14:paraId="0BA06CE6" w14:textId="77777777" w:rsidR="001C12F4" w:rsidRDefault="001C12F4"/>
    <w:sectPr w:rsidR="001C12F4" w:rsidSect="004B6C08">
      <w:headerReference w:type="default" r:id="rId31"/>
      <w:footerReference w:type="default" r:id="rId32"/>
      <w:footerReference w:type="first" r:id="rId3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C1781" w14:textId="77777777" w:rsidR="00705CB6" w:rsidRDefault="00705CB6" w:rsidP="00C84D5D">
      <w:pPr>
        <w:spacing w:before="0" w:after="0" w:line="240" w:lineRule="auto"/>
      </w:pPr>
      <w:r>
        <w:separator/>
      </w:r>
    </w:p>
  </w:endnote>
  <w:endnote w:type="continuationSeparator" w:id="0">
    <w:p w14:paraId="58AD4778" w14:textId="77777777" w:rsidR="00705CB6" w:rsidRDefault="00705CB6" w:rsidP="00C84D5D">
      <w:pPr>
        <w:spacing w:before="0" w:after="0" w:line="240" w:lineRule="auto"/>
      </w:pPr>
      <w:r>
        <w:continuationSeparator/>
      </w:r>
    </w:p>
  </w:endnote>
  <w:endnote w:type="continuationNotice" w:id="1">
    <w:p w14:paraId="11E1D76B" w14:textId="77777777" w:rsidR="00705CB6" w:rsidRDefault="00705CB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2928870"/>
      <w:docPartObj>
        <w:docPartGallery w:val="Page Numbers (Bottom of Page)"/>
        <w:docPartUnique/>
      </w:docPartObj>
    </w:sdtPr>
    <w:sdtEndPr/>
    <w:sdtContent>
      <w:sdt>
        <w:sdtPr>
          <w:id w:val="-1705238520"/>
          <w:docPartObj>
            <w:docPartGallery w:val="Page Numbers (Top of Page)"/>
            <w:docPartUnique/>
          </w:docPartObj>
        </w:sdtPr>
        <w:sdtEndPr/>
        <w:sdtContent>
          <w:p w14:paraId="77C42A4E" w14:textId="77777777" w:rsidR="001C12F4" w:rsidRDefault="00C84D5D">
            <w:pPr>
              <w:pStyle w:val="TOCHeading"/>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3B97FA8E" w14:textId="77777777" w:rsidR="001C12F4" w:rsidRDefault="001C12F4">
    <w:pPr>
      <w:pStyle w:val="TOCHeadi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97C40" w14:textId="4BD29C28" w:rsidR="001C12F4" w:rsidRDefault="00C84D5D">
    <w:pPr>
      <w:pStyle w:val="TOCHeading"/>
    </w:pPr>
    <w:r w:rsidRPr="00B536D0">
      <w:rPr>
        <w:noProof/>
        <w:lang w:eastAsia="en-GB"/>
      </w:rPr>
      <w:drawing>
        <wp:anchor distT="0" distB="0" distL="114300" distR="114300" simplePos="0" relativeHeight="251658240" behindDoc="1" locked="1" layoutInCell="1" allowOverlap="1" wp14:anchorId="6EE4AE0F" wp14:editId="55F66FCE">
          <wp:simplePos x="0" y="0"/>
          <wp:positionH relativeFrom="page">
            <wp:posOffset>22860</wp:posOffset>
          </wp:positionH>
          <wp:positionV relativeFrom="margin">
            <wp:posOffset>-890270</wp:posOffset>
          </wp:positionV>
          <wp:extent cx="7563485" cy="1050798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c.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485" cy="10507980"/>
                  </a:xfrm>
                  <a:prstGeom prst="rect">
                    <a:avLst/>
                  </a:prstGeom>
                </pic:spPr>
              </pic:pic>
            </a:graphicData>
          </a:graphic>
          <wp14:sizeRelV relativeFrom="margin">
            <wp14:pctHeight>0</wp14:pctHeight>
          </wp14:sizeRelV>
        </wp:anchor>
      </w:drawing>
    </w:r>
    <w:r w:rsidRPr="00B536D0">
      <w:t xml:space="preserve">Version </w:t>
    </w:r>
    <w:r w:rsidR="00B536D0" w:rsidRPr="00B536D0">
      <w:t>4.0 Updated</w:t>
    </w:r>
    <w:r w:rsidRPr="00B536D0">
      <w:t xml:space="preserve"> </w:t>
    </w:r>
    <w:r w:rsidR="002F5B04">
      <w:t>Sept</w:t>
    </w:r>
    <w:r w:rsidR="004B4313">
      <w:t>ember</w:t>
    </w:r>
    <w:r w:rsidR="00467FA3" w:rsidRPr="00901C45">
      <w:t xml:space="preserve"> 202</w:t>
    </w:r>
    <w:r w:rsidR="009837D5">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5563CC" w14:textId="77777777" w:rsidR="00705CB6" w:rsidRDefault="00705CB6" w:rsidP="00C84D5D">
      <w:pPr>
        <w:spacing w:before="0" w:after="0" w:line="240" w:lineRule="auto"/>
      </w:pPr>
      <w:r>
        <w:separator/>
      </w:r>
    </w:p>
  </w:footnote>
  <w:footnote w:type="continuationSeparator" w:id="0">
    <w:p w14:paraId="5832A410" w14:textId="77777777" w:rsidR="00705CB6" w:rsidRDefault="00705CB6" w:rsidP="00C84D5D">
      <w:pPr>
        <w:spacing w:before="0" w:after="0" w:line="240" w:lineRule="auto"/>
      </w:pPr>
      <w:r>
        <w:continuationSeparator/>
      </w:r>
    </w:p>
  </w:footnote>
  <w:footnote w:type="continuationNotice" w:id="1">
    <w:p w14:paraId="32DA9417" w14:textId="77777777" w:rsidR="00705CB6" w:rsidRDefault="00705CB6">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3583A" w14:textId="22C35C2E" w:rsidR="001C12F4" w:rsidRDefault="003656D9">
    <w:pPr>
      <w:pStyle w:val="Footer"/>
      <w:jc w:val="right"/>
    </w:pPr>
    <w:r>
      <w:t>Teaching Support Roles</w:t>
    </w:r>
    <w:r w:rsidR="00C84D5D">
      <w:t xml:space="preserve"> (</w:t>
    </w:r>
    <w:r>
      <w:t>TSR</w:t>
    </w:r>
    <w:r w:rsidR="00C84D5D">
      <w:t xml:space="preserve">) – Guide for </w:t>
    </w:r>
    <w:r w:rsidR="00DB2737">
      <w:t>Hiring Managers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D1952"/>
    <w:multiLevelType w:val="hybridMultilevel"/>
    <w:tmpl w:val="7A8E2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01EAC"/>
    <w:multiLevelType w:val="hybridMultilevel"/>
    <w:tmpl w:val="8EF8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A507A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D7F040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41B73C1E"/>
    <w:multiLevelType w:val="hybridMultilevel"/>
    <w:tmpl w:val="0EBE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B21444"/>
    <w:multiLevelType w:val="multilevel"/>
    <w:tmpl w:val="769CC9E2"/>
    <w:lvl w:ilvl="0">
      <w:start w:val="1"/>
      <w:numFmt w:val="decimal"/>
      <w:pStyle w:val="Heading1"/>
      <w:suff w:val="nothing"/>
      <w:lvlText w:val="%1 | "/>
      <w:lvlJc w:val="left"/>
      <w:pPr>
        <w:ind w:left="0" w:firstLine="0"/>
      </w:pPr>
      <w:rPr>
        <w:rFonts w:hint="default"/>
        <w:sz w:val="100"/>
      </w:rPr>
    </w:lvl>
    <w:lvl w:ilvl="1">
      <w:start w:val="1"/>
      <w:numFmt w:val="decimal"/>
      <w:pStyle w:val="Heading2"/>
      <w:suff w:val="nothing"/>
      <w:lvlText w:val="%1.%2 | "/>
      <w:lvlJc w:val="left"/>
      <w:pPr>
        <w:ind w:left="426" w:firstLine="0"/>
      </w:pPr>
      <w:rPr>
        <w:rFonts w:hint="default"/>
      </w:rPr>
    </w:lvl>
    <w:lvl w:ilvl="2">
      <w:start w:val="1"/>
      <w:numFmt w:val="decimal"/>
      <w:pStyle w:val="Heading3"/>
      <w:suff w:val="nothing"/>
      <w:lvlText w:val="%1.%2.%3 | "/>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nothing"/>
      <w:lvlText w:val="%1.%2.%3.%4 | "/>
      <w:lvlJc w:val="left"/>
      <w:pPr>
        <w:ind w:left="0" w:firstLine="0"/>
      </w:pPr>
      <w:rPr>
        <w:rFonts w:hint="default"/>
      </w:rPr>
    </w:lvl>
    <w:lvl w:ilvl="4">
      <w:start w:val="1"/>
      <w:numFmt w:val="decimal"/>
      <w:pStyle w:val="Heading5"/>
      <w:suff w:val="nothing"/>
      <w:lvlText w:val="%5 | "/>
      <w:lvlJc w:val="left"/>
      <w:pPr>
        <w:ind w:left="3828" w:hanging="567"/>
      </w:pPr>
      <w:rPr>
        <w:rFonts w:hint="default"/>
        <w:b w:val="0"/>
        <w:color w:val="auto"/>
      </w:rPr>
    </w:lvl>
    <w:lvl w:ilvl="5">
      <w:start w:val="1"/>
      <w:numFmt w:val="lowerLetter"/>
      <w:pStyle w:val="Heading6"/>
      <w:suff w:val="nothing"/>
      <w:lvlText w:val="%6 | "/>
      <w:lvlJc w:val="left"/>
      <w:pPr>
        <w:ind w:left="2978" w:hanging="567"/>
      </w:pPr>
      <w:rPr>
        <w:rFonts w:hint="default"/>
        <w:b w:val="0"/>
        <w:color w:val="auto"/>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4D5F05AF"/>
    <w:multiLevelType w:val="hybridMultilevel"/>
    <w:tmpl w:val="608C3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480D75"/>
    <w:multiLevelType w:val="hybridMultilevel"/>
    <w:tmpl w:val="EB84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9D6AAF"/>
    <w:multiLevelType w:val="hybridMultilevel"/>
    <w:tmpl w:val="323EE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465933"/>
    <w:multiLevelType w:val="hybridMultilevel"/>
    <w:tmpl w:val="F4D41B78"/>
    <w:lvl w:ilvl="0" w:tplc="0E3678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3852207">
    <w:abstractNumId w:val="5"/>
  </w:num>
  <w:num w:numId="2" w16cid:durableId="1822694498">
    <w:abstractNumId w:val="7"/>
  </w:num>
  <w:num w:numId="3" w16cid:durableId="180290481">
    <w:abstractNumId w:val="1"/>
  </w:num>
  <w:num w:numId="4" w16cid:durableId="493649447">
    <w:abstractNumId w:val="6"/>
  </w:num>
  <w:num w:numId="5" w16cid:durableId="1725447482">
    <w:abstractNumId w:val="9"/>
  </w:num>
  <w:num w:numId="6" w16cid:durableId="1524708537">
    <w:abstractNumId w:val="0"/>
  </w:num>
  <w:num w:numId="7" w16cid:durableId="406808889">
    <w:abstractNumId w:val="4"/>
  </w:num>
  <w:num w:numId="8" w16cid:durableId="146483958">
    <w:abstractNumId w:val="8"/>
  </w:num>
  <w:num w:numId="9" w16cid:durableId="1844205171">
    <w:abstractNumId w:val="3"/>
  </w:num>
  <w:num w:numId="10" w16cid:durableId="1040740180">
    <w:abstractNumId w:val="2"/>
  </w:num>
  <w:num w:numId="11" w16cid:durableId="1815563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5D5"/>
    <w:rsid w:val="00006F52"/>
    <w:rsid w:val="00006FBB"/>
    <w:rsid w:val="0001435D"/>
    <w:rsid w:val="00031405"/>
    <w:rsid w:val="000362E0"/>
    <w:rsid w:val="0004227B"/>
    <w:rsid w:val="00043A69"/>
    <w:rsid w:val="00085C7A"/>
    <w:rsid w:val="00090062"/>
    <w:rsid w:val="00093AD0"/>
    <w:rsid w:val="00097A10"/>
    <w:rsid w:val="00097B92"/>
    <w:rsid w:val="000A65CF"/>
    <w:rsid w:val="000B10D6"/>
    <w:rsid w:val="000C245B"/>
    <w:rsid w:val="000C3850"/>
    <w:rsid w:val="000C4E95"/>
    <w:rsid w:val="000F7F19"/>
    <w:rsid w:val="00113C83"/>
    <w:rsid w:val="0012202C"/>
    <w:rsid w:val="00131740"/>
    <w:rsid w:val="00151ABD"/>
    <w:rsid w:val="00154D46"/>
    <w:rsid w:val="001740D1"/>
    <w:rsid w:val="001758BF"/>
    <w:rsid w:val="0018568F"/>
    <w:rsid w:val="001862E4"/>
    <w:rsid w:val="001872B9"/>
    <w:rsid w:val="00190B8A"/>
    <w:rsid w:val="001A12DD"/>
    <w:rsid w:val="001A4D9F"/>
    <w:rsid w:val="001A5778"/>
    <w:rsid w:val="001B3DD7"/>
    <w:rsid w:val="001B5EAC"/>
    <w:rsid w:val="001B678B"/>
    <w:rsid w:val="001B74BE"/>
    <w:rsid w:val="001C12F4"/>
    <w:rsid w:val="001D6DAC"/>
    <w:rsid w:val="001E4A2B"/>
    <w:rsid w:val="001F25AC"/>
    <w:rsid w:val="00216C23"/>
    <w:rsid w:val="00217C3B"/>
    <w:rsid w:val="00221CA7"/>
    <w:rsid w:val="00227982"/>
    <w:rsid w:val="0024634F"/>
    <w:rsid w:val="002467A4"/>
    <w:rsid w:val="00246FD4"/>
    <w:rsid w:val="002606B7"/>
    <w:rsid w:val="00267EE4"/>
    <w:rsid w:val="00270B01"/>
    <w:rsid w:val="00275D6C"/>
    <w:rsid w:val="002873D9"/>
    <w:rsid w:val="00297887"/>
    <w:rsid w:val="0029CFE9"/>
    <w:rsid w:val="002A2CD3"/>
    <w:rsid w:val="002A30BC"/>
    <w:rsid w:val="002A4BA4"/>
    <w:rsid w:val="002B63A9"/>
    <w:rsid w:val="002C02CD"/>
    <w:rsid w:val="002C186F"/>
    <w:rsid w:val="002C481B"/>
    <w:rsid w:val="002C67A1"/>
    <w:rsid w:val="002C6ED7"/>
    <w:rsid w:val="002E785E"/>
    <w:rsid w:val="002E7A11"/>
    <w:rsid w:val="002F5B04"/>
    <w:rsid w:val="002F6FA9"/>
    <w:rsid w:val="00300468"/>
    <w:rsid w:val="003116CF"/>
    <w:rsid w:val="003222CC"/>
    <w:rsid w:val="003261A7"/>
    <w:rsid w:val="003354EB"/>
    <w:rsid w:val="003529EE"/>
    <w:rsid w:val="00360B53"/>
    <w:rsid w:val="00361E4F"/>
    <w:rsid w:val="003630D1"/>
    <w:rsid w:val="003656D9"/>
    <w:rsid w:val="0039631C"/>
    <w:rsid w:val="003A3956"/>
    <w:rsid w:val="003D3125"/>
    <w:rsid w:val="003D4988"/>
    <w:rsid w:val="003D49D9"/>
    <w:rsid w:val="003E55D5"/>
    <w:rsid w:val="003F7EB0"/>
    <w:rsid w:val="0041442F"/>
    <w:rsid w:val="00426379"/>
    <w:rsid w:val="00426A5C"/>
    <w:rsid w:val="004421BB"/>
    <w:rsid w:val="004449A5"/>
    <w:rsid w:val="00452387"/>
    <w:rsid w:val="00455224"/>
    <w:rsid w:val="0046224B"/>
    <w:rsid w:val="00467FA3"/>
    <w:rsid w:val="004732AC"/>
    <w:rsid w:val="00476555"/>
    <w:rsid w:val="00487C11"/>
    <w:rsid w:val="00493BC3"/>
    <w:rsid w:val="004B4313"/>
    <w:rsid w:val="004B5FF1"/>
    <w:rsid w:val="004B6C08"/>
    <w:rsid w:val="004B7EF0"/>
    <w:rsid w:val="004C0E65"/>
    <w:rsid w:val="004C1871"/>
    <w:rsid w:val="004D6E12"/>
    <w:rsid w:val="004D6EA9"/>
    <w:rsid w:val="004E7D79"/>
    <w:rsid w:val="004F39D0"/>
    <w:rsid w:val="004F40B6"/>
    <w:rsid w:val="004F7ED5"/>
    <w:rsid w:val="00502550"/>
    <w:rsid w:val="005046C4"/>
    <w:rsid w:val="00524744"/>
    <w:rsid w:val="005271A4"/>
    <w:rsid w:val="005339D0"/>
    <w:rsid w:val="00533A67"/>
    <w:rsid w:val="0053504F"/>
    <w:rsid w:val="00537A15"/>
    <w:rsid w:val="00541B9E"/>
    <w:rsid w:val="00552D0E"/>
    <w:rsid w:val="00564A5A"/>
    <w:rsid w:val="00565A5E"/>
    <w:rsid w:val="005726AB"/>
    <w:rsid w:val="005733F8"/>
    <w:rsid w:val="00573E05"/>
    <w:rsid w:val="00574C5A"/>
    <w:rsid w:val="00574DA2"/>
    <w:rsid w:val="00583FF8"/>
    <w:rsid w:val="00587824"/>
    <w:rsid w:val="005B039B"/>
    <w:rsid w:val="005B3135"/>
    <w:rsid w:val="005B333E"/>
    <w:rsid w:val="005C4164"/>
    <w:rsid w:val="005E1801"/>
    <w:rsid w:val="00600897"/>
    <w:rsid w:val="0060301B"/>
    <w:rsid w:val="00605BA9"/>
    <w:rsid w:val="00610765"/>
    <w:rsid w:val="006348F5"/>
    <w:rsid w:val="00642659"/>
    <w:rsid w:val="00645D2B"/>
    <w:rsid w:val="00662772"/>
    <w:rsid w:val="00667F59"/>
    <w:rsid w:val="00670621"/>
    <w:rsid w:val="00670A27"/>
    <w:rsid w:val="00680311"/>
    <w:rsid w:val="00685C38"/>
    <w:rsid w:val="00691200"/>
    <w:rsid w:val="006A5AB0"/>
    <w:rsid w:val="006B30B7"/>
    <w:rsid w:val="006B670A"/>
    <w:rsid w:val="006E6C70"/>
    <w:rsid w:val="006E70CE"/>
    <w:rsid w:val="0070164F"/>
    <w:rsid w:val="00705CB6"/>
    <w:rsid w:val="00712D8D"/>
    <w:rsid w:val="007159AF"/>
    <w:rsid w:val="00715D98"/>
    <w:rsid w:val="00724740"/>
    <w:rsid w:val="00734372"/>
    <w:rsid w:val="0074146E"/>
    <w:rsid w:val="00771A4D"/>
    <w:rsid w:val="0077758A"/>
    <w:rsid w:val="00794E47"/>
    <w:rsid w:val="007A6E8C"/>
    <w:rsid w:val="007B5C96"/>
    <w:rsid w:val="007C4597"/>
    <w:rsid w:val="007E248C"/>
    <w:rsid w:val="007F4D50"/>
    <w:rsid w:val="00802AA6"/>
    <w:rsid w:val="00833C75"/>
    <w:rsid w:val="00842629"/>
    <w:rsid w:val="00850198"/>
    <w:rsid w:val="008606E9"/>
    <w:rsid w:val="00864D97"/>
    <w:rsid w:val="00867421"/>
    <w:rsid w:val="008808C4"/>
    <w:rsid w:val="00881AD7"/>
    <w:rsid w:val="00882A45"/>
    <w:rsid w:val="008836B4"/>
    <w:rsid w:val="008A661E"/>
    <w:rsid w:val="008C5D0F"/>
    <w:rsid w:val="008D4604"/>
    <w:rsid w:val="008D7654"/>
    <w:rsid w:val="008E6279"/>
    <w:rsid w:val="008F6D5F"/>
    <w:rsid w:val="0090026A"/>
    <w:rsid w:val="009007A9"/>
    <w:rsid w:val="00901C45"/>
    <w:rsid w:val="009047A5"/>
    <w:rsid w:val="009052A7"/>
    <w:rsid w:val="00912A2B"/>
    <w:rsid w:val="00916776"/>
    <w:rsid w:val="009212E8"/>
    <w:rsid w:val="0092786E"/>
    <w:rsid w:val="00956C61"/>
    <w:rsid w:val="009635D5"/>
    <w:rsid w:val="00981BF3"/>
    <w:rsid w:val="009837D5"/>
    <w:rsid w:val="009B1F23"/>
    <w:rsid w:val="009B7693"/>
    <w:rsid w:val="009C3EDA"/>
    <w:rsid w:val="00A023FA"/>
    <w:rsid w:val="00A04763"/>
    <w:rsid w:val="00A06DD0"/>
    <w:rsid w:val="00A15630"/>
    <w:rsid w:val="00A16141"/>
    <w:rsid w:val="00A20FAC"/>
    <w:rsid w:val="00A3236B"/>
    <w:rsid w:val="00A43C67"/>
    <w:rsid w:val="00A55187"/>
    <w:rsid w:val="00A644D8"/>
    <w:rsid w:val="00A6538D"/>
    <w:rsid w:val="00A66566"/>
    <w:rsid w:val="00A8108D"/>
    <w:rsid w:val="00A83F70"/>
    <w:rsid w:val="00A84BBE"/>
    <w:rsid w:val="00A84C57"/>
    <w:rsid w:val="00A96E74"/>
    <w:rsid w:val="00AA5588"/>
    <w:rsid w:val="00AC35A6"/>
    <w:rsid w:val="00AC4489"/>
    <w:rsid w:val="00AD29BF"/>
    <w:rsid w:val="00AD56E2"/>
    <w:rsid w:val="00AE5A16"/>
    <w:rsid w:val="00AF28BF"/>
    <w:rsid w:val="00AF4C48"/>
    <w:rsid w:val="00AF5165"/>
    <w:rsid w:val="00AF74C7"/>
    <w:rsid w:val="00B01F80"/>
    <w:rsid w:val="00B120CC"/>
    <w:rsid w:val="00B222F8"/>
    <w:rsid w:val="00B26172"/>
    <w:rsid w:val="00B27031"/>
    <w:rsid w:val="00B30109"/>
    <w:rsid w:val="00B333DA"/>
    <w:rsid w:val="00B536D0"/>
    <w:rsid w:val="00B57CFF"/>
    <w:rsid w:val="00B61B8C"/>
    <w:rsid w:val="00B84627"/>
    <w:rsid w:val="00B95F2F"/>
    <w:rsid w:val="00BC75D3"/>
    <w:rsid w:val="00BD3FEA"/>
    <w:rsid w:val="00BF7F3A"/>
    <w:rsid w:val="00C34DF3"/>
    <w:rsid w:val="00C41937"/>
    <w:rsid w:val="00C426B2"/>
    <w:rsid w:val="00C563D4"/>
    <w:rsid w:val="00C65C45"/>
    <w:rsid w:val="00C667B3"/>
    <w:rsid w:val="00C66A27"/>
    <w:rsid w:val="00C6701F"/>
    <w:rsid w:val="00C72581"/>
    <w:rsid w:val="00C756B5"/>
    <w:rsid w:val="00C8337B"/>
    <w:rsid w:val="00C84D5D"/>
    <w:rsid w:val="00CA5CF8"/>
    <w:rsid w:val="00CB0567"/>
    <w:rsid w:val="00CB2960"/>
    <w:rsid w:val="00CB5F67"/>
    <w:rsid w:val="00CC4FB7"/>
    <w:rsid w:val="00CD1B8F"/>
    <w:rsid w:val="00CD6EE7"/>
    <w:rsid w:val="00CE3179"/>
    <w:rsid w:val="00CE6C70"/>
    <w:rsid w:val="00CF03A4"/>
    <w:rsid w:val="00CF63E4"/>
    <w:rsid w:val="00CF78D6"/>
    <w:rsid w:val="00D000B0"/>
    <w:rsid w:val="00D04418"/>
    <w:rsid w:val="00D1009D"/>
    <w:rsid w:val="00D10145"/>
    <w:rsid w:val="00D26749"/>
    <w:rsid w:val="00D27635"/>
    <w:rsid w:val="00D3546A"/>
    <w:rsid w:val="00D3550A"/>
    <w:rsid w:val="00D37C7E"/>
    <w:rsid w:val="00D44910"/>
    <w:rsid w:val="00D57E1C"/>
    <w:rsid w:val="00D671D5"/>
    <w:rsid w:val="00D743D8"/>
    <w:rsid w:val="00D768F7"/>
    <w:rsid w:val="00D83E3E"/>
    <w:rsid w:val="00D84705"/>
    <w:rsid w:val="00D84D8F"/>
    <w:rsid w:val="00D86F62"/>
    <w:rsid w:val="00DA1869"/>
    <w:rsid w:val="00DA290E"/>
    <w:rsid w:val="00DB2737"/>
    <w:rsid w:val="00DB2DD9"/>
    <w:rsid w:val="00DB569E"/>
    <w:rsid w:val="00DB769E"/>
    <w:rsid w:val="00DD0E6B"/>
    <w:rsid w:val="00DE3FEB"/>
    <w:rsid w:val="00DE5D89"/>
    <w:rsid w:val="00DF03FF"/>
    <w:rsid w:val="00E07616"/>
    <w:rsid w:val="00E3174F"/>
    <w:rsid w:val="00E3363B"/>
    <w:rsid w:val="00E362C1"/>
    <w:rsid w:val="00E4003B"/>
    <w:rsid w:val="00E44188"/>
    <w:rsid w:val="00E524B7"/>
    <w:rsid w:val="00E56C22"/>
    <w:rsid w:val="00E57DC7"/>
    <w:rsid w:val="00E64BFB"/>
    <w:rsid w:val="00E66370"/>
    <w:rsid w:val="00E76388"/>
    <w:rsid w:val="00E83249"/>
    <w:rsid w:val="00EA03DC"/>
    <w:rsid w:val="00EE107C"/>
    <w:rsid w:val="00EF7FF7"/>
    <w:rsid w:val="00F368D1"/>
    <w:rsid w:val="00F428D5"/>
    <w:rsid w:val="00F42944"/>
    <w:rsid w:val="00F433B7"/>
    <w:rsid w:val="00F46380"/>
    <w:rsid w:val="00F47F16"/>
    <w:rsid w:val="00F54609"/>
    <w:rsid w:val="00F55A26"/>
    <w:rsid w:val="00F6425A"/>
    <w:rsid w:val="00F649AB"/>
    <w:rsid w:val="00F652B8"/>
    <w:rsid w:val="00F672FD"/>
    <w:rsid w:val="00F709CF"/>
    <w:rsid w:val="00F833C0"/>
    <w:rsid w:val="00F84AE7"/>
    <w:rsid w:val="00F85699"/>
    <w:rsid w:val="00F91D55"/>
    <w:rsid w:val="00F94180"/>
    <w:rsid w:val="00F96477"/>
    <w:rsid w:val="00FF1CD2"/>
    <w:rsid w:val="00FF4438"/>
    <w:rsid w:val="00FF70F8"/>
    <w:rsid w:val="02715355"/>
    <w:rsid w:val="02AF3CAC"/>
    <w:rsid w:val="0371F4ED"/>
    <w:rsid w:val="03F7425D"/>
    <w:rsid w:val="04FC54AF"/>
    <w:rsid w:val="05B1321C"/>
    <w:rsid w:val="06BC4910"/>
    <w:rsid w:val="075D16D8"/>
    <w:rsid w:val="080AAD50"/>
    <w:rsid w:val="097D88AE"/>
    <w:rsid w:val="09F97ACD"/>
    <w:rsid w:val="0B6670E8"/>
    <w:rsid w:val="0B84717C"/>
    <w:rsid w:val="0DBECCAB"/>
    <w:rsid w:val="0E801192"/>
    <w:rsid w:val="0FCBD5BB"/>
    <w:rsid w:val="11933C35"/>
    <w:rsid w:val="12600BA5"/>
    <w:rsid w:val="126A84AA"/>
    <w:rsid w:val="13E5FD3B"/>
    <w:rsid w:val="1491FFE2"/>
    <w:rsid w:val="14B6A393"/>
    <w:rsid w:val="16275EAA"/>
    <w:rsid w:val="1665D045"/>
    <w:rsid w:val="1720A722"/>
    <w:rsid w:val="1869B54D"/>
    <w:rsid w:val="186B81E6"/>
    <w:rsid w:val="18A2B456"/>
    <w:rsid w:val="18AE0C86"/>
    <w:rsid w:val="18EB2503"/>
    <w:rsid w:val="19567B67"/>
    <w:rsid w:val="1A2611E8"/>
    <w:rsid w:val="1B19EABB"/>
    <w:rsid w:val="1C239422"/>
    <w:rsid w:val="1C68C059"/>
    <w:rsid w:val="1E0E72B4"/>
    <w:rsid w:val="1F395D11"/>
    <w:rsid w:val="1F7D0398"/>
    <w:rsid w:val="204FF990"/>
    <w:rsid w:val="21ACA3D5"/>
    <w:rsid w:val="2275B745"/>
    <w:rsid w:val="22F78FB1"/>
    <w:rsid w:val="2378B350"/>
    <w:rsid w:val="2577F203"/>
    <w:rsid w:val="27B0CBA9"/>
    <w:rsid w:val="280645CC"/>
    <w:rsid w:val="29411294"/>
    <w:rsid w:val="29FAA447"/>
    <w:rsid w:val="2B49D2D8"/>
    <w:rsid w:val="2B681C2B"/>
    <w:rsid w:val="2CD302BC"/>
    <w:rsid w:val="2FEE5200"/>
    <w:rsid w:val="3028FF49"/>
    <w:rsid w:val="30B89239"/>
    <w:rsid w:val="334A8691"/>
    <w:rsid w:val="33F696E8"/>
    <w:rsid w:val="35EE999E"/>
    <w:rsid w:val="3683FC86"/>
    <w:rsid w:val="37F384FE"/>
    <w:rsid w:val="386E27FF"/>
    <w:rsid w:val="38A60328"/>
    <w:rsid w:val="38F91EA1"/>
    <w:rsid w:val="3936B153"/>
    <w:rsid w:val="3B9AE756"/>
    <w:rsid w:val="3BE54341"/>
    <w:rsid w:val="3C1E1E7B"/>
    <w:rsid w:val="3D74D285"/>
    <w:rsid w:val="3F3F4461"/>
    <w:rsid w:val="44F7868E"/>
    <w:rsid w:val="45427DA4"/>
    <w:rsid w:val="45ABC045"/>
    <w:rsid w:val="4788A53A"/>
    <w:rsid w:val="47A6A6B5"/>
    <w:rsid w:val="47DD9C39"/>
    <w:rsid w:val="48D618E0"/>
    <w:rsid w:val="48ED9C97"/>
    <w:rsid w:val="49A922E7"/>
    <w:rsid w:val="4A3678ED"/>
    <w:rsid w:val="4ACCAD1E"/>
    <w:rsid w:val="4B67E4EF"/>
    <w:rsid w:val="4BA1DF43"/>
    <w:rsid w:val="4DCE6AA3"/>
    <w:rsid w:val="4E68C4C7"/>
    <w:rsid w:val="4F4A80C9"/>
    <w:rsid w:val="4F8874DA"/>
    <w:rsid w:val="50182454"/>
    <w:rsid w:val="518291A1"/>
    <w:rsid w:val="51FCFCB4"/>
    <w:rsid w:val="54CF8A66"/>
    <w:rsid w:val="55290636"/>
    <w:rsid w:val="55A392C9"/>
    <w:rsid w:val="56A5CB1F"/>
    <w:rsid w:val="579384A1"/>
    <w:rsid w:val="58639BED"/>
    <w:rsid w:val="58AF4BAD"/>
    <w:rsid w:val="599F5D91"/>
    <w:rsid w:val="5A455DA0"/>
    <w:rsid w:val="5B3916FD"/>
    <w:rsid w:val="5BC8646E"/>
    <w:rsid w:val="5BF200AA"/>
    <w:rsid w:val="5C7905D9"/>
    <w:rsid w:val="5CCB9964"/>
    <w:rsid w:val="5D54234A"/>
    <w:rsid w:val="5E515A43"/>
    <w:rsid w:val="5EDD940C"/>
    <w:rsid w:val="5EDE9456"/>
    <w:rsid w:val="5EF794B4"/>
    <w:rsid w:val="624D856C"/>
    <w:rsid w:val="633949F5"/>
    <w:rsid w:val="637AF521"/>
    <w:rsid w:val="64AD8C7F"/>
    <w:rsid w:val="651C638B"/>
    <w:rsid w:val="655A8BCD"/>
    <w:rsid w:val="65758735"/>
    <w:rsid w:val="65C82655"/>
    <w:rsid w:val="668DEB14"/>
    <w:rsid w:val="66C3D085"/>
    <w:rsid w:val="66C6A306"/>
    <w:rsid w:val="670E002A"/>
    <w:rsid w:val="67ADCF3F"/>
    <w:rsid w:val="695EFE5A"/>
    <w:rsid w:val="69C369DF"/>
    <w:rsid w:val="6A2745F1"/>
    <w:rsid w:val="6C5A4368"/>
    <w:rsid w:val="6CD2A692"/>
    <w:rsid w:val="6D3D2544"/>
    <w:rsid w:val="6E84E2BF"/>
    <w:rsid w:val="6E870BF3"/>
    <w:rsid w:val="6F4B7D63"/>
    <w:rsid w:val="706AB141"/>
    <w:rsid w:val="709C170A"/>
    <w:rsid w:val="711B9B96"/>
    <w:rsid w:val="7130511C"/>
    <w:rsid w:val="72CF4AE1"/>
    <w:rsid w:val="72DEDEAE"/>
    <w:rsid w:val="72DF70FA"/>
    <w:rsid w:val="72F04139"/>
    <w:rsid w:val="732CD353"/>
    <w:rsid w:val="74FA0236"/>
    <w:rsid w:val="756B530B"/>
    <w:rsid w:val="75C19DB9"/>
    <w:rsid w:val="76BA3BED"/>
    <w:rsid w:val="770B544F"/>
    <w:rsid w:val="7852C354"/>
    <w:rsid w:val="78DE4EE1"/>
    <w:rsid w:val="7964DA67"/>
    <w:rsid w:val="7ADED112"/>
    <w:rsid w:val="7C478DF5"/>
    <w:rsid w:val="7D1C3281"/>
    <w:rsid w:val="7E197A1F"/>
    <w:rsid w:val="7E757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14827"/>
  <w15:chartTrackingRefBased/>
  <w15:docId w15:val="{48C82775-6FCF-4B8E-AF5B-BB535791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5D5"/>
    <w:pPr>
      <w:spacing w:before="120" w:after="120"/>
    </w:pPr>
    <w:rPr>
      <w:rFonts w:ascii="Helvetica" w:hAnsi="Helvetica"/>
      <w:sz w:val="24"/>
    </w:rPr>
  </w:style>
  <w:style w:type="paragraph" w:styleId="Heading1">
    <w:name w:val="heading 1"/>
    <w:basedOn w:val="Normal"/>
    <w:next w:val="Normal"/>
    <w:link w:val="Heading1Char"/>
    <w:autoRedefine/>
    <w:uiPriority w:val="9"/>
    <w:qFormat/>
    <w:rsid w:val="003E55D5"/>
    <w:pPr>
      <w:pageBreakBefore/>
      <w:numPr>
        <w:numId w:val="1"/>
      </w:numPr>
      <w:shd w:val="clear" w:color="auto" w:fill="827A92"/>
      <w:outlineLvl w:val="0"/>
    </w:pPr>
    <w:rPr>
      <w:rFonts w:eastAsiaTheme="majorEastAsia" w:cstheme="majorBidi"/>
      <w:b/>
      <w:color w:val="FFFFFF" w:themeColor="background1"/>
      <w:sz w:val="40"/>
      <w:szCs w:val="32"/>
    </w:rPr>
  </w:style>
  <w:style w:type="paragraph" w:styleId="Heading2">
    <w:name w:val="heading 2"/>
    <w:basedOn w:val="Normal"/>
    <w:next w:val="Normal"/>
    <w:link w:val="Heading2Char"/>
    <w:autoRedefine/>
    <w:uiPriority w:val="9"/>
    <w:unhideWhenUsed/>
    <w:qFormat/>
    <w:rsid w:val="003E55D5"/>
    <w:pPr>
      <w:keepNext/>
      <w:keepLines/>
      <w:numPr>
        <w:ilvl w:val="1"/>
        <w:numId w:val="1"/>
      </w:numPr>
      <w:ind w:left="0"/>
      <w:outlineLvl w:val="1"/>
    </w:pPr>
    <w:rPr>
      <w:rFonts w:eastAsiaTheme="majorEastAsia" w:cstheme="majorBidi"/>
      <w:b/>
      <w:color w:val="827A92"/>
      <w:sz w:val="32"/>
      <w:szCs w:val="26"/>
    </w:rPr>
  </w:style>
  <w:style w:type="paragraph" w:styleId="Heading3">
    <w:name w:val="heading 3"/>
    <w:basedOn w:val="Normal"/>
    <w:next w:val="Normal"/>
    <w:link w:val="Heading3Char"/>
    <w:autoRedefine/>
    <w:uiPriority w:val="9"/>
    <w:unhideWhenUsed/>
    <w:qFormat/>
    <w:rsid w:val="00270B01"/>
    <w:pPr>
      <w:keepNext/>
      <w:keepLines/>
      <w:numPr>
        <w:ilvl w:val="2"/>
        <w:numId w:val="1"/>
      </w:numPr>
      <w:outlineLvl w:val="2"/>
    </w:pPr>
    <w:rPr>
      <w:rFonts w:eastAsiaTheme="majorEastAsia" w:cstheme="majorBidi"/>
      <w:sz w:val="28"/>
      <w:szCs w:val="28"/>
    </w:rPr>
  </w:style>
  <w:style w:type="paragraph" w:styleId="Heading4">
    <w:name w:val="heading 4"/>
    <w:basedOn w:val="Normal"/>
    <w:next w:val="Normal"/>
    <w:link w:val="Heading4Char"/>
    <w:autoRedefine/>
    <w:uiPriority w:val="9"/>
    <w:unhideWhenUsed/>
    <w:qFormat/>
    <w:rsid w:val="003E55D5"/>
    <w:pPr>
      <w:keepNext/>
      <w:keepLines/>
      <w:numPr>
        <w:ilvl w:val="3"/>
        <w:numId w:val="1"/>
      </w:numPr>
      <w:outlineLvl w:val="3"/>
    </w:pPr>
    <w:rPr>
      <w:rFonts w:eastAsiaTheme="majorEastAsia" w:cstheme="majorBidi"/>
      <w:i/>
      <w:iCs/>
      <w:color w:val="2F5496" w:themeColor="accent1" w:themeShade="BF"/>
    </w:rPr>
  </w:style>
  <w:style w:type="paragraph" w:styleId="Heading5">
    <w:name w:val="heading 5"/>
    <w:basedOn w:val="ListParagraph"/>
    <w:link w:val="Heading5Char"/>
    <w:autoRedefine/>
    <w:uiPriority w:val="9"/>
    <w:unhideWhenUsed/>
    <w:qFormat/>
    <w:rsid w:val="003E55D5"/>
    <w:pPr>
      <w:numPr>
        <w:ilvl w:val="4"/>
        <w:numId w:val="1"/>
      </w:numPr>
      <w:ind w:left="1560"/>
      <w:contextualSpacing w:val="0"/>
      <w:outlineLvl w:val="4"/>
    </w:pPr>
  </w:style>
  <w:style w:type="paragraph" w:styleId="Heading6">
    <w:name w:val="heading 6"/>
    <w:basedOn w:val="Normal"/>
    <w:link w:val="Heading6Char"/>
    <w:autoRedefine/>
    <w:uiPriority w:val="9"/>
    <w:unhideWhenUsed/>
    <w:qFormat/>
    <w:rsid w:val="003E55D5"/>
    <w:pPr>
      <w:keepNext/>
      <w:keepLines/>
      <w:numPr>
        <w:ilvl w:val="5"/>
        <w:numId w:val="1"/>
      </w:numPr>
      <w:spacing w:before="40" w:after="0"/>
      <w:ind w:left="1985" w:hanging="425"/>
      <w:outlineLvl w:val="5"/>
    </w:pPr>
    <w:rPr>
      <w:rFonts w:eastAsiaTheme="majorEastAsia"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55D5"/>
    <w:rPr>
      <w:rFonts w:ascii="Helvetica" w:eastAsiaTheme="majorEastAsia" w:hAnsi="Helvetica" w:cstheme="majorBidi"/>
      <w:b/>
      <w:color w:val="FFFFFF" w:themeColor="background1"/>
      <w:sz w:val="40"/>
      <w:szCs w:val="32"/>
      <w:shd w:val="clear" w:color="auto" w:fill="827A92"/>
    </w:rPr>
  </w:style>
  <w:style w:type="character" w:customStyle="1" w:styleId="Heading2Char">
    <w:name w:val="Heading 2 Char"/>
    <w:basedOn w:val="DefaultParagraphFont"/>
    <w:link w:val="Heading2"/>
    <w:uiPriority w:val="9"/>
    <w:rsid w:val="003E55D5"/>
    <w:rPr>
      <w:rFonts w:ascii="Helvetica" w:eastAsiaTheme="majorEastAsia" w:hAnsi="Helvetica" w:cstheme="majorBidi"/>
      <w:b/>
      <w:color w:val="827A92"/>
      <w:sz w:val="32"/>
      <w:szCs w:val="26"/>
    </w:rPr>
  </w:style>
  <w:style w:type="character" w:customStyle="1" w:styleId="Heading3Char">
    <w:name w:val="Heading 3 Char"/>
    <w:basedOn w:val="DefaultParagraphFont"/>
    <w:link w:val="Heading3"/>
    <w:uiPriority w:val="9"/>
    <w:rsid w:val="00270B01"/>
    <w:rPr>
      <w:rFonts w:ascii="Helvetica" w:eastAsiaTheme="majorEastAsia" w:hAnsi="Helvetica" w:cstheme="majorBidi"/>
      <w:sz w:val="28"/>
      <w:szCs w:val="28"/>
    </w:rPr>
  </w:style>
  <w:style w:type="character" w:customStyle="1" w:styleId="Heading4Char">
    <w:name w:val="Heading 4 Char"/>
    <w:basedOn w:val="DefaultParagraphFont"/>
    <w:link w:val="Heading4"/>
    <w:uiPriority w:val="9"/>
    <w:rsid w:val="003E55D5"/>
    <w:rPr>
      <w:rFonts w:ascii="Helvetica" w:eastAsiaTheme="majorEastAsia" w:hAnsi="Helvetica" w:cstheme="majorBidi"/>
      <w:i/>
      <w:iCs/>
      <w:color w:val="2F5496" w:themeColor="accent1" w:themeShade="BF"/>
      <w:sz w:val="24"/>
    </w:rPr>
  </w:style>
  <w:style w:type="paragraph" w:styleId="ListParagraph">
    <w:name w:val="List Paragraph"/>
    <w:basedOn w:val="Normal"/>
    <w:link w:val="ListParagraphChar"/>
    <w:uiPriority w:val="34"/>
    <w:qFormat/>
    <w:rsid w:val="003E55D5"/>
    <w:pPr>
      <w:ind w:left="720"/>
      <w:contextualSpacing/>
    </w:pPr>
  </w:style>
  <w:style w:type="character" w:customStyle="1" w:styleId="ListParagraphChar">
    <w:name w:val="List Paragraph Char"/>
    <w:basedOn w:val="DefaultParagraphFont"/>
    <w:link w:val="ListParagraph"/>
    <w:uiPriority w:val="34"/>
    <w:rsid w:val="003E55D5"/>
    <w:rPr>
      <w:rFonts w:ascii="Helvetica" w:hAnsi="Helvetica"/>
      <w:sz w:val="24"/>
    </w:rPr>
  </w:style>
  <w:style w:type="character" w:customStyle="1" w:styleId="Heading5Char">
    <w:name w:val="Heading 5 Char"/>
    <w:basedOn w:val="DefaultParagraphFont"/>
    <w:link w:val="Heading5"/>
    <w:uiPriority w:val="9"/>
    <w:rsid w:val="003E55D5"/>
    <w:rPr>
      <w:rFonts w:ascii="Helvetica" w:hAnsi="Helvetica"/>
      <w:sz w:val="24"/>
    </w:rPr>
  </w:style>
  <w:style w:type="character" w:customStyle="1" w:styleId="Heading6Char">
    <w:name w:val="Heading 6 Char"/>
    <w:basedOn w:val="DefaultParagraphFont"/>
    <w:link w:val="Heading6"/>
    <w:uiPriority w:val="9"/>
    <w:rsid w:val="003E55D5"/>
    <w:rPr>
      <w:rFonts w:ascii="Helvetica" w:eastAsiaTheme="majorEastAsia" w:hAnsi="Helvetica" w:cs="Helvetica"/>
      <w:sz w:val="24"/>
    </w:rPr>
  </w:style>
  <w:style w:type="character" w:styleId="Hyperlink">
    <w:name w:val="Hyperlink"/>
    <w:basedOn w:val="DefaultParagraphFont"/>
    <w:uiPriority w:val="99"/>
    <w:unhideWhenUsed/>
    <w:rsid w:val="003E55D5"/>
    <w:rPr>
      <w:color w:val="0563C1" w:themeColor="hyperlink"/>
      <w:u w:val="single"/>
    </w:rPr>
  </w:style>
  <w:style w:type="table" w:styleId="TableGrid">
    <w:name w:val="Table Grid"/>
    <w:basedOn w:val="TableNormal"/>
    <w:uiPriority w:val="39"/>
    <w:rsid w:val="003E5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55D5"/>
    <w:rPr>
      <w:sz w:val="16"/>
      <w:szCs w:val="16"/>
    </w:rPr>
  </w:style>
  <w:style w:type="paragraph" w:styleId="CommentText">
    <w:name w:val="annotation text"/>
    <w:basedOn w:val="Normal"/>
    <w:link w:val="CommentTextChar"/>
    <w:uiPriority w:val="99"/>
    <w:unhideWhenUsed/>
    <w:rsid w:val="003E55D5"/>
    <w:pPr>
      <w:spacing w:line="240" w:lineRule="auto"/>
    </w:pPr>
    <w:rPr>
      <w:sz w:val="20"/>
      <w:szCs w:val="20"/>
    </w:rPr>
  </w:style>
  <w:style w:type="character" w:customStyle="1" w:styleId="CommentTextChar">
    <w:name w:val="Comment Text Char"/>
    <w:basedOn w:val="DefaultParagraphFont"/>
    <w:link w:val="CommentText"/>
    <w:uiPriority w:val="99"/>
    <w:rsid w:val="003E55D5"/>
    <w:rPr>
      <w:rFonts w:ascii="Helvetica" w:hAnsi="Helvetica"/>
      <w:sz w:val="20"/>
      <w:szCs w:val="20"/>
    </w:rPr>
  </w:style>
  <w:style w:type="character" w:customStyle="1" w:styleId="CommentSubjectChar">
    <w:name w:val="Comment Subject Char"/>
    <w:basedOn w:val="CommentTextChar"/>
    <w:link w:val="CommentSubject"/>
    <w:uiPriority w:val="99"/>
    <w:semiHidden/>
    <w:rsid w:val="003E55D5"/>
    <w:rPr>
      <w:rFonts w:ascii="Helvetica" w:hAnsi="Helvetica"/>
      <w:b/>
      <w:bCs/>
      <w:sz w:val="20"/>
      <w:szCs w:val="20"/>
    </w:rPr>
  </w:style>
  <w:style w:type="paragraph" w:styleId="CommentSubject">
    <w:name w:val="annotation subject"/>
    <w:basedOn w:val="CommentText"/>
    <w:next w:val="CommentText"/>
    <w:link w:val="CommentSubjectChar"/>
    <w:uiPriority w:val="99"/>
    <w:semiHidden/>
    <w:unhideWhenUsed/>
    <w:rsid w:val="003E55D5"/>
    <w:rPr>
      <w:b/>
      <w:bCs/>
    </w:rPr>
  </w:style>
  <w:style w:type="paragraph" w:styleId="BalloonText">
    <w:name w:val="Balloon Text"/>
    <w:basedOn w:val="Normal"/>
    <w:link w:val="BalloonTextChar"/>
    <w:uiPriority w:val="99"/>
    <w:semiHidden/>
    <w:unhideWhenUsed/>
    <w:rsid w:val="003E55D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5D5"/>
    <w:rPr>
      <w:rFonts w:ascii="Segoe UI" w:hAnsi="Segoe UI" w:cs="Segoe UI"/>
      <w:sz w:val="18"/>
      <w:szCs w:val="18"/>
    </w:rPr>
  </w:style>
  <w:style w:type="paragraph" w:customStyle="1" w:styleId="DocumentTitle">
    <w:name w:val="Document Title"/>
    <w:basedOn w:val="Normal"/>
    <w:qFormat/>
    <w:rsid w:val="003E55D5"/>
    <w:pPr>
      <w:spacing w:before="320" w:line="276" w:lineRule="auto"/>
      <w:ind w:left="-2495"/>
    </w:pPr>
    <w:rPr>
      <w:rFonts w:asciiTheme="minorHAnsi" w:eastAsia="Times New Roman" w:hAnsiTheme="minorHAnsi" w:cs="Times New Roman"/>
      <w:b/>
      <w:i/>
      <w:color w:val="6C647F"/>
      <w:szCs w:val="24"/>
    </w:rPr>
  </w:style>
  <w:style w:type="paragraph" w:styleId="Header">
    <w:name w:val="header"/>
    <w:basedOn w:val="Normal"/>
    <w:link w:val="HeaderChar"/>
    <w:uiPriority w:val="99"/>
    <w:unhideWhenUsed/>
    <w:rsid w:val="003E55D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E55D5"/>
    <w:rPr>
      <w:rFonts w:ascii="Helvetica" w:hAnsi="Helvetica"/>
      <w:sz w:val="24"/>
    </w:rPr>
  </w:style>
  <w:style w:type="paragraph" w:styleId="Footer">
    <w:name w:val="footer"/>
    <w:basedOn w:val="Normal"/>
    <w:link w:val="FooterChar"/>
    <w:uiPriority w:val="99"/>
    <w:unhideWhenUsed/>
    <w:rsid w:val="003E55D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3E55D5"/>
    <w:rPr>
      <w:rFonts w:ascii="Helvetica" w:hAnsi="Helvetica"/>
      <w:sz w:val="24"/>
    </w:rPr>
  </w:style>
  <w:style w:type="paragraph" w:styleId="TOCHeading">
    <w:name w:val="TOC Heading"/>
    <w:basedOn w:val="Heading1"/>
    <w:next w:val="Normal"/>
    <w:uiPriority w:val="39"/>
    <w:unhideWhenUsed/>
    <w:qFormat/>
    <w:rsid w:val="003E55D5"/>
    <w:pPr>
      <w:keepNext/>
      <w:keepLines/>
      <w:pageBreakBefore w:val="0"/>
      <w:numPr>
        <w:numId w:val="0"/>
      </w:numPr>
      <w:shd w:val="clear" w:color="auto" w:fill="auto"/>
      <w:spacing w:before="240" w:after="0"/>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3E55D5"/>
    <w:pPr>
      <w:spacing w:after="100"/>
    </w:pPr>
  </w:style>
  <w:style w:type="paragraph" w:styleId="TOC2">
    <w:name w:val="toc 2"/>
    <w:basedOn w:val="Normal"/>
    <w:next w:val="Normal"/>
    <w:autoRedefine/>
    <w:uiPriority w:val="39"/>
    <w:unhideWhenUsed/>
    <w:rsid w:val="003E55D5"/>
    <w:pPr>
      <w:spacing w:after="100"/>
      <w:ind w:left="240"/>
    </w:pPr>
  </w:style>
  <w:style w:type="paragraph" w:styleId="TOC3">
    <w:name w:val="toc 3"/>
    <w:basedOn w:val="Normal"/>
    <w:next w:val="Normal"/>
    <w:autoRedefine/>
    <w:uiPriority w:val="39"/>
    <w:unhideWhenUsed/>
    <w:rsid w:val="003E55D5"/>
    <w:pPr>
      <w:spacing w:after="100"/>
      <w:ind w:left="480"/>
    </w:pPr>
  </w:style>
  <w:style w:type="paragraph" w:styleId="Revision">
    <w:name w:val="Revision"/>
    <w:hidden/>
    <w:uiPriority w:val="99"/>
    <w:semiHidden/>
    <w:rsid w:val="008836B4"/>
    <w:pPr>
      <w:spacing w:after="0" w:line="240" w:lineRule="auto"/>
    </w:pPr>
    <w:rPr>
      <w:rFonts w:ascii="Helvetica" w:hAnsi="Helvetica"/>
      <w:sz w:val="24"/>
    </w:rPr>
  </w:style>
  <w:style w:type="character" w:customStyle="1" w:styleId="hgkelc">
    <w:name w:val="hgkelc"/>
    <w:basedOn w:val="DefaultParagraphFont"/>
    <w:rsid w:val="00E362C1"/>
  </w:style>
  <w:style w:type="character" w:styleId="UnresolvedMention">
    <w:name w:val="Unresolved Mention"/>
    <w:basedOn w:val="DefaultParagraphFont"/>
    <w:uiPriority w:val="99"/>
    <w:semiHidden/>
    <w:unhideWhenUsed/>
    <w:rsid w:val="002A30BC"/>
    <w:rPr>
      <w:color w:val="605E5C"/>
      <w:shd w:val="clear" w:color="auto" w:fill="E1DFDD"/>
    </w:rPr>
  </w:style>
  <w:style w:type="character" w:styleId="FollowedHyperlink">
    <w:name w:val="FollowedHyperlink"/>
    <w:basedOn w:val="DefaultParagraphFont"/>
    <w:uiPriority w:val="99"/>
    <w:semiHidden/>
    <w:unhideWhenUsed/>
    <w:rsid w:val="00CB0567"/>
    <w:rPr>
      <w:color w:val="954F72" w:themeColor="followedHyperlink"/>
      <w:u w:val="single"/>
    </w:rPr>
  </w:style>
  <w:style w:type="character" w:styleId="Mention">
    <w:name w:val="Mention"/>
    <w:basedOn w:val="DefaultParagraphFont"/>
    <w:uiPriority w:val="99"/>
    <w:unhideWhenUsed/>
    <w:rsid w:val="005271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367256">
      <w:bodyDiv w:val="1"/>
      <w:marLeft w:val="0"/>
      <w:marRight w:val="0"/>
      <w:marTop w:val="0"/>
      <w:marBottom w:val="0"/>
      <w:divBdr>
        <w:top w:val="none" w:sz="0" w:space="0" w:color="auto"/>
        <w:left w:val="none" w:sz="0" w:space="0" w:color="auto"/>
        <w:bottom w:val="none" w:sz="0" w:space="0" w:color="auto"/>
        <w:right w:val="none" w:sz="0" w:space="0" w:color="auto"/>
      </w:divBdr>
    </w:div>
    <w:div w:id="1843348178">
      <w:bodyDiv w:val="1"/>
      <w:marLeft w:val="0"/>
      <w:marRight w:val="0"/>
      <w:marTop w:val="0"/>
      <w:marBottom w:val="0"/>
      <w:divBdr>
        <w:top w:val="none" w:sz="0" w:space="0" w:color="auto"/>
        <w:left w:val="none" w:sz="0" w:space="0" w:color="auto"/>
        <w:bottom w:val="none" w:sz="0" w:space="0" w:color="auto"/>
        <w:right w:val="none" w:sz="0" w:space="0" w:color="auto"/>
      </w:divBdr>
      <w:divsChild>
        <w:div w:id="470708261">
          <w:marLeft w:val="0"/>
          <w:marRight w:val="0"/>
          <w:marTop w:val="0"/>
          <w:marBottom w:val="0"/>
          <w:divBdr>
            <w:top w:val="none" w:sz="0" w:space="0" w:color="auto"/>
            <w:left w:val="none" w:sz="0" w:space="0" w:color="auto"/>
            <w:bottom w:val="none" w:sz="0" w:space="0" w:color="auto"/>
            <w:right w:val="none" w:sz="0" w:space="0" w:color="auto"/>
          </w:divBdr>
          <w:divsChild>
            <w:div w:id="200437008">
              <w:marLeft w:val="0"/>
              <w:marRight w:val="0"/>
              <w:marTop w:val="0"/>
              <w:marBottom w:val="0"/>
              <w:divBdr>
                <w:top w:val="none" w:sz="0" w:space="0" w:color="auto"/>
                <w:left w:val="none" w:sz="0" w:space="0" w:color="auto"/>
                <w:bottom w:val="none" w:sz="0" w:space="0" w:color="auto"/>
                <w:right w:val="none" w:sz="0" w:space="0" w:color="auto"/>
              </w:divBdr>
              <w:divsChild>
                <w:div w:id="1283876194">
                  <w:marLeft w:val="0"/>
                  <w:marRight w:val="0"/>
                  <w:marTop w:val="0"/>
                  <w:marBottom w:val="0"/>
                  <w:divBdr>
                    <w:top w:val="none" w:sz="0" w:space="0" w:color="auto"/>
                    <w:left w:val="none" w:sz="0" w:space="0" w:color="auto"/>
                    <w:bottom w:val="none" w:sz="0" w:space="0" w:color="auto"/>
                    <w:right w:val="none" w:sz="0" w:space="0" w:color="auto"/>
                  </w:divBdr>
                  <w:divsChild>
                    <w:div w:id="1467428022">
                      <w:marLeft w:val="0"/>
                      <w:marRight w:val="0"/>
                      <w:marTop w:val="0"/>
                      <w:marBottom w:val="0"/>
                      <w:divBdr>
                        <w:top w:val="none" w:sz="0" w:space="0" w:color="auto"/>
                        <w:left w:val="none" w:sz="0" w:space="0" w:color="auto"/>
                        <w:bottom w:val="none" w:sz="0" w:space="0" w:color="auto"/>
                        <w:right w:val="none" w:sz="0" w:space="0" w:color="auto"/>
                      </w:divBdr>
                      <w:divsChild>
                        <w:div w:id="1367100183">
                          <w:marLeft w:val="0"/>
                          <w:marRight w:val="0"/>
                          <w:marTop w:val="0"/>
                          <w:marBottom w:val="0"/>
                          <w:divBdr>
                            <w:top w:val="none" w:sz="0" w:space="0" w:color="auto"/>
                            <w:left w:val="none" w:sz="0" w:space="0" w:color="auto"/>
                            <w:bottom w:val="none" w:sz="0" w:space="0" w:color="auto"/>
                            <w:right w:val="none" w:sz="0" w:space="0" w:color="auto"/>
                          </w:divBdr>
                          <w:divsChild>
                            <w:div w:id="77182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492215">
          <w:marLeft w:val="0"/>
          <w:marRight w:val="0"/>
          <w:marTop w:val="0"/>
          <w:marBottom w:val="0"/>
          <w:divBdr>
            <w:top w:val="none" w:sz="0" w:space="0" w:color="auto"/>
            <w:left w:val="none" w:sz="0" w:space="0" w:color="auto"/>
            <w:bottom w:val="none" w:sz="0" w:space="0" w:color="auto"/>
            <w:right w:val="none" w:sz="0" w:space="0" w:color="auto"/>
          </w:divBdr>
          <w:divsChild>
            <w:div w:id="97028683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ristol.ac.uk/hr/tsr/tsr-payrates.html" TargetMode="External"/><Relationship Id="rId18" Type="http://schemas.openxmlformats.org/officeDocument/2006/relationships/hyperlink" Target="https://www.youtube.com/watch?v=jqbo6yL9rE4" TargetMode="External"/><Relationship Id="rId26" Type="http://schemas.openxmlformats.org/officeDocument/2006/relationships/hyperlink" Target="mailto:payroll-uob@bristol.ac.uk" TargetMode="External"/><Relationship Id="rId3" Type="http://schemas.openxmlformats.org/officeDocument/2006/relationships/customXml" Target="../customXml/item3.xml"/><Relationship Id="rId21" Type="http://schemas.openxmlformats.org/officeDocument/2006/relationships/image" Target="media/image1.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bristol.ac.uk/hr/tsr/tsr-descriptors-summary.html" TargetMode="External"/><Relationship Id="rId17" Type="http://schemas.openxmlformats.org/officeDocument/2006/relationships/hyperlink" Target="https://www.bristol.ac.uk/hr/tsr/teacher.html" TargetMode="External"/><Relationship Id="rId25" Type="http://schemas.openxmlformats.org/officeDocument/2006/relationships/hyperlink" Target="mailto:financehr-systems@bristol.ac.uk"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bristol.ac.uk/hr/grading/academic/role-profiles/3a.html" TargetMode="External"/><Relationship Id="rId20" Type="http://schemas.openxmlformats.org/officeDocument/2006/relationships/hyperlink" Target="https://uob.sharepoint.com/sites/finance-services/SitePages/Payroll-deadlines.aspx" TargetMode="External"/><Relationship Id="rId29" Type="http://schemas.openxmlformats.org/officeDocument/2006/relationships/hyperlink" Target="http://www.bristol.ac.uk/bilt/staff-development/pg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ristol.ac.uk/hr/tsr/policyfortransfer/" TargetMode="External"/><Relationship Id="rId24" Type="http://schemas.openxmlformats.org/officeDocument/2006/relationships/image" Target="media/image2.jpeg"/><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tsr-enquiries@bristol.ac.uk" TargetMode="External"/><Relationship Id="rId23" Type="http://schemas.openxmlformats.org/officeDocument/2006/relationships/hyperlink" Target="https://uob.sharepoint.com/sites/myerp/SitePages/Getting-paid-tsr-hpts.aspx" TargetMode="External"/><Relationship Id="rId28" Type="http://schemas.openxmlformats.org/officeDocument/2006/relationships/hyperlink" Target="https://uob.sharepoint.com/sites/myerp/SitePages/Managing-people-staff-reporting.aspx" TargetMode="External"/><Relationship Id="rId10" Type="http://schemas.openxmlformats.org/officeDocument/2006/relationships/hyperlink" Target="http://www.bristol.ac.uk/hr/salaries" TargetMode="External"/><Relationship Id="rId19" Type="http://schemas.openxmlformats.org/officeDocument/2006/relationships/hyperlink" Target="https://uob.sharepoint.com/sites/myerp/SitePages/Getting-paid-tsr-hpts.aspx" TargetMode="External"/><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ristol.ac.uk/hr/salaries/" TargetMode="External"/><Relationship Id="rId22" Type="http://schemas.openxmlformats.org/officeDocument/2006/relationships/hyperlink" Target="https://www.bristol.ac.uk/directory/visas/work-visas/" TargetMode="External"/><Relationship Id="rId27" Type="http://schemas.openxmlformats.org/officeDocument/2006/relationships/hyperlink" Target="http://www.bristol.ac.uk/temporary-staffing/cag/" TargetMode="External"/><Relationship Id="rId30" Type="http://schemas.openxmlformats.org/officeDocument/2006/relationships/hyperlink" Target="https://www.bristol.ac.uk/bilt/events/introduction-to-teaching/" TargetMode="External"/><Relationship Id="rId35" Type="http://schemas.openxmlformats.org/officeDocument/2006/relationships/theme" Target="theme/theme1.xml"/><Relationship Id="rId8"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4029E5A8F3CE46B900B91AF2CBB686" ma:contentTypeVersion="16" ma:contentTypeDescription="Create a new document." ma:contentTypeScope="" ma:versionID="2a81e58f28396e76a27c42cac49df51b">
  <xsd:schema xmlns:xsd="http://www.w3.org/2001/XMLSchema" xmlns:xs="http://www.w3.org/2001/XMLSchema" xmlns:p="http://schemas.microsoft.com/office/2006/metadata/properties" xmlns:ns2="169ea639-bd44-4793-9e50-52b1587b9585" xmlns:ns3="21d01b19-8c23-4e7a-9aae-b0975586835d" targetNamespace="http://schemas.microsoft.com/office/2006/metadata/properties" ma:root="true" ma:fieldsID="7a4c7e9c24dbf19c564ee60d77ffa849" ns2:_="" ns3:_="">
    <xsd:import namespace="169ea639-bd44-4793-9e50-52b1587b9585"/>
    <xsd:import namespace="21d01b19-8c23-4e7a-9aae-b097558683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ea639-bd44-4793-9e50-52b1587b9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084387-097e-4aef-8f33-0dee7b0eb57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01b19-8c23-4e7a-9aae-b097558683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69ea639-bd44-4793-9e50-52b1587b958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70E651-7021-4177-BAAA-1C8B38B89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9ea639-bd44-4793-9e50-52b1587b9585"/>
    <ds:schemaRef ds:uri="21d01b19-8c23-4e7a-9aae-b09755868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BA709-73CE-4668-ABF2-BC7054DF3B85}">
  <ds:schemaRefs>
    <ds:schemaRef ds:uri="http://schemas.microsoft.com/sharepoint/v3/contenttype/forms"/>
  </ds:schemaRefs>
</ds:datastoreItem>
</file>

<file path=customXml/itemProps3.xml><?xml version="1.0" encoding="utf-8"?>
<ds:datastoreItem xmlns:ds="http://schemas.openxmlformats.org/officeDocument/2006/customXml" ds:itemID="{4B848ED3-4898-4C0F-BB8B-5A04F45A1482}">
  <ds:schemaRef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21d01b19-8c23-4e7a-9aae-b0975586835d"/>
    <ds:schemaRef ds:uri="http://schemas.microsoft.com/office/2006/metadata/properties"/>
    <ds:schemaRef ds:uri="169ea639-bd44-4793-9e50-52b1587b9585"/>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16</Pages>
  <Words>5033</Words>
  <Characters>28691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33657</CharactersWithSpaces>
  <SharedDoc>false</SharedDoc>
  <HLinks>
    <vt:vector size="276" baseType="variant">
      <vt:variant>
        <vt:i4>3801200</vt:i4>
      </vt:variant>
      <vt:variant>
        <vt:i4>198</vt:i4>
      </vt:variant>
      <vt:variant>
        <vt:i4>0</vt:i4>
      </vt:variant>
      <vt:variant>
        <vt:i4>5</vt:i4>
      </vt:variant>
      <vt:variant>
        <vt:lpwstr>https://www.bristol.ac.uk/bilt/events/introduction-to-teaching/</vt:lpwstr>
      </vt:variant>
      <vt:variant>
        <vt:lpwstr/>
      </vt:variant>
      <vt:variant>
        <vt:i4>5570653</vt:i4>
      </vt:variant>
      <vt:variant>
        <vt:i4>195</vt:i4>
      </vt:variant>
      <vt:variant>
        <vt:i4>0</vt:i4>
      </vt:variant>
      <vt:variant>
        <vt:i4>5</vt:i4>
      </vt:variant>
      <vt:variant>
        <vt:lpwstr>http://www.bristol.ac.uk/bilt/staff-development/pgrs/</vt:lpwstr>
      </vt:variant>
      <vt:variant>
        <vt:lpwstr/>
      </vt:variant>
      <vt:variant>
        <vt:i4>655437</vt:i4>
      </vt:variant>
      <vt:variant>
        <vt:i4>192</vt:i4>
      </vt:variant>
      <vt:variant>
        <vt:i4>0</vt:i4>
      </vt:variant>
      <vt:variant>
        <vt:i4>5</vt:i4>
      </vt:variant>
      <vt:variant>
        <vt:lpwstr>https://uob.sharepoint.com/sites/myerp/SitePages/Managing-people-staff-reporting.aspx</vt:lpwstr>
      </vt:variant>
      <vt:variant>
        <vt:lpwstr/>
      </vt:variant>
      <vt:variant>
        <vt:i4>4980837</vt:i4>
      </vt:variant>
      <vt:variant>
        <vt:i4>189</vt:i4>
      </vt:variant>
      <vt:variant>
        <vt:i4>0</vt:i4>
      </vt:variant>
      <vt:variant>
        <vt:i4>5</vt:i4>
      </vt:variant>
      <vt:variant>
        <vt:lpwstr/>
      </vt:variant>
      <vt:variant>
        <vt:lpwstr>_TSR_Annual_Review</vt:lpwstr>
      </vt:variant>
      <vt:variant>
        <vt:i4>589833</vt:i4>
      </vt:variant>
      <vt:variant>
        <vt:i4>186</vt:i4>
      </vt:variant>
      <vt:variant>
        <vt:i4>0</vt:i4>
      </vt:variant>
      <vt:variant>
        <vt:i4>5</vt:i4>
      </vt:variant>
      <vt:variant>
        <vt:lpwstr>http://www.bristol.ac.uk/temporary-staffing/cag/</vt:lpwstr>
      </vt:variant>
      <vt:variant>
        <vt:lpwstr/>
      </vt:variant>
      <vt:variant>
        <vt:i4>3276818</vt:i4>
      </vt:variant>
      <vt:variant>
        <vt:i4>183</vt:i4>
      </vt:variant>
      <vt:variant>
        <vt:i4>0</vt:i4>
      </vt:variant>
      <vt:variant>
        <vt:i4>5</vt:i4>
      </vt:variant>
      <vt:variant>
        <vt:lpwstr>mailto:financehr-systems@bristol.ac.uk</vt:lpwstr>
      </vt:variant>
      <vt:variant>
        <vt:lpwstr/>
      </vt:variant>
      <vt:variant>
        <vt:i4>6029398</vt:i4>
      </vt:variant>
      <vt:variant>
        <vt:i4>180</vt:i4>
      </vt:variant>
      <vt:variant>
        <vt:i4>0</vt:i4>
      </vt:variant>
      <vt:variant>
        <vt:i4>5</vt:i4>
      </vt:variant>
      <vt:variant>
        <vt:lpwstr>https://uob.sharepoint.com/sites/myerp/SitePages/Getting-paid-tsr-hpts.aspx</vt:lpwstr>
      </vt:variant>
      <vt:variant>
        <vt:lpwstr>approving-a-tsr-hpt-claim-(school-manager-or-delegate):~:text=Approving%20a%20TSR/HPT%20claim%20(School%20Manager%20or%20delegate)</vt:lpwstr>
      </vt:variant>
      <vt:variant>
        <vt:i4>4259906</vt:i4>
      </vt:variant>
      <vt:variant>
        <vt:i4>177</vt:i4>
      </vt:variant>
      <vt:variant>
        <vt:i4>0</vt:i4>
      </vt:variant>
      <vt:variant>
        <vt:i4>5</vt:i4>
      </vt:variant>
      <vt:variant>
        <vt:lpwstr>https://www.bristol.ac.uk/directory/visas/work-visas/</vt:lpwstr>
      </vt:variant>
      <vt:variant>
        <vt:lpwstr/>
      </vt:variant>
      <vt:variant>
        <vt:i4>2162725</vt:i4>
      </vt:variant>
      <vt:variant>
        <vt:i4>174</vt:i4>
      </vt:variant>
      <vt:variant>
        <vt:i4>0</vt:i4>
      </vt:variant>
      <vt:variant>
        <vt:i4>5</vt:i4>
      </vt:variant>
      <vt:variant>
        <vt:lpwstr>https://uob.sharepoint.com/sites/finance-services/SitePages/Payroll-deadlines.aspx</vt:lpwstr>
      </vt:variant>
      <vt:variant>
        <vt:lpwstr/>
      </vt:variant>
      <vt:variant>
        <vt:i4>2293887</vt:i4>
      </vt:variant>
      <vt:variant>
        <vt:i4>171</vt:i4>
      </vt:variant>
      <vt:variant>
        <vt:i4>0</vt:i4>
      </vt:variant>
      <vt:variant>
        <vt:i4>5</vt:i4>
      </vt:variant>
      <vt:variant>
        <vt:lpwstr>https://uob.sharepoint.com/sites/myerp/SitePages/Getting-paid-tsr-hpts.aspx</vt:lpwstr>
      </vt:variant>
      <vt:variant>
        <vt:lpwstr/>
      </vt:variant>
      <vt:variant>
        <vt:i4>2097204</vt:i4>
      </vt:variant>
      <vt:variant>
        <vt:i4>168</vt:i4>
      </vt:variant>
      <vt:variant>
        <vt:i4>0</vt:i4>
      </vt:variant>
      <vt:variant>
        <vt:i4>5</vt:i4>
      </vt:variant>
      <vt:variant>
        <vt:lpwstr/>
      </vt:variant>
      <vt:variant>
        <vt:lpwstr>_Contract_Changes</vt:lpwstr>
      </vt:variant>
      <vt:variant>
        <vt:i4>4980837</vt:i4>
      </vt:variant>
      <vt:variant>
        <vt:i4>165</vt:i4>
      </vt:variant>
      <vt:variant>
        <vt:i4>0</vt:i4>
      </vt:variant>
      <vt:variant>
        <vt:i4>5</vt:i4>
      </vt:variant>
      <vt:variant>
        <vt:lpwstr/>
      </vt:variant>
      <vt:variant>
        <vt:lpwstr>_TSR_Annual_Review</vt:lpwstr>
      </vt:variant>
      <vt:variant>
        <vt:i4>6553711</vt:i4>
      </vt:variant>
      <vt:variant>
        <vt:i4>162</vt:i4>
      </vt:variant>
      <vt:variant>
        <vt:i4>0</vt:i4>
      </vt:variant>
      <vt:variant>
        <vt:i4>5</vt:i4>
      </vt:variant>
      <vt:variant>
        <vt:lpwstr>https://www.youtube.com/watch?v=jqbo6yL9rE4</vt:lpwstr>
      </vt:variant>
      <vt:variant>
        <vt:lpwstr/>
      </vt:variant>
      <vt:variant>
        <vt:i4>4980837</vt:i4>
      </vt:variant>
      <vt:variant>
        <vt:i4>159</vt:i4>
      </vt:variant>
      <vt:variant>
        <vt:i4>0</vt:i4>
      </vt:variant>
      <vt:variant>
        <vt:i4>5</vt:i4>
      </vt:variant>
      <vt:variant>
        <vt:lpwstr/>
      </vt:variant>
      <vt:variant>
        <vt:lpwstr>_TSR_Annual_Review</vt:lpwstr>
      </vt:variant>
      <vt:variant>
        <vt:i4>3801151</vt:i4>
      </vt:variant>
      <vt:variant>
        <vt:i4>156</vt:i4>
      </vt:variant>
      <vt:variant>
        <vt:i4>0</vt:i4>
      </vt:variant>
      <vt:variant>
        <vt:i4>5</vt:i4>
      </vt:variant>
      <vt:variant>
        <vt:lpwstr>https://www.bristol.ac.uk/hr/grading/academic/role-profiles/3a.html</vt:lpwstr>
      </vt:variant>
      <vt:variant>
        <vt:lpwstr/>
      </vt:variant>
      <vt:variant>
        <vt:i4>3407886</vt:i4>
      </vt:variant>
      <vt:variant>
        <vt:i4>153</vt:i4>
      </vt:variant>
      <vt:variant>
        <vt:i4>0</vt:i4>
      </vt:variant>
      <vt:variant>
        <vt:i4>5</vt:i4>
      </vt:variant>
      <vt:variant>
        <vt:lpwstr>mailto:tsr-enquiries@bristol.ac.uk</vt:lpwstr>
      </vt:variant>
      <vt:variant>
        <vt:lpwstr/>
      </vt:variant>
      <vt:variant>
        <vt:i4>4259923</vt:i4>
      </vt:variant>
      <vt:variant>
        <vt:i4>150</vt:i4>
      </vt:variant>
      <vt:variant>
        <vt:i4>0</vt:i4>
      </vt:variant>
      <vt:variant>
        <vt:i4>5</vt:i4>
      </vt:variant>
      <vt:variant>
        <vt:lpwstr>http://www.bristol.ac.uk/hr/salaries/</vt:lpwstr>
      </vt:variant>
      <vt:variant>
        <vt:lpwstr/>
      </vt:variant>
      <vt:variant>
        <vt:i4>4718604</vt:i4>
      </vt:variant>
      <vt:variant>
        <vt:i4>147</vt:i4>
      </vt:variant>
      <vt:variant>
        <vt:i4>0</vt:i4>
      </vt:variant>
      <vt:variant>
        <vt:i4>5</vt:i4>
      </vt:variant>
      <vt:variant>
        <vt:lpwstr>http://www.bristol.ac.uk/hr/tsr/tsr-payrates.html</vt:lpwstr>
      </vt:variant>
      <vt:variant>
        <vt:lpwstr/>
      </vt:variant>
      <vt:variant>
        <vt:i4>4259921</vt:i4>
      </vt:variant>
      <vt:variant>
        <vt:i4>144</vt:i4>
      </vt:variant>
      <vt:variant>
        <vt:i4>0</vt:i4>
      </vt:variant>
      <vt:variant>
        <vt:i4>5</vt:i4>
      </vt:variant>
      <vt:variant>
        <vt:lpwstr>http://www.bristol.ac.uk/hr/hpt/hpt-descriptors-summary.html</vt:lpwstr>
      </vt:variant>
      <vt:variant>
        <vt:lpwstr/>
      </vt:variant>
      <vt:variant>
        <vt:i4>4784198</vt:i4>
      </vt:variant>
      <vt:variant>
        <vt:i4>141</vt:i4>
      </vt:variant>
      <vt:variant>
        <vt:i4>0</vt:i4>
      </vt:variant>
      <vt:variant>
        <vt:i4>5</vt:i4>
      </vt:variant>
      <vt:variant>
        <vt:lpwstr>https://www.bristol.ac.uk/hr/tsr/tsr-descriptors-summary.html</vt:lpwstr>
      </vt:variant>
      <vt:variant>
        <vt:lpwstr/>
      </vt:variant>
      <vt:variant>
        <vt:i4>3866686</vt:i4>
      </vt:variant>
      <vt:variant>
        <vt:i4>138</vt:i4>
      </vt:variant>
      <vt:variant>
        <vt:i4>0</vt:i4>
      </vt:variant>
      <vt:variant>
        <vt:i4>5</vt:i4>
      </vt:variant>
      <vt:variant>
        <vt:lpwstr>http://www.bristol.ac.uk/hr/tsr/policyfortransfer/</vt:lpwstr>
      </vt:variant>
      <vt:variant>
        <vt:lpwstr/>
      </vt:variant>
      <vt:variant>
        <vt:i4>4259923</vt:i4>
      </vt:variant>
      <vt:variant>
        <vt:i4>135</vt:i4>
      </vt:variant>
      <vt:variant>
        <vt:i4>0</vt:i4>
      </vt:variant>
      <vt:variant>
        <vt:i4>5</vt:i4>
      </vt:variant>
      <vt:variant>
        <vt:lpwstr>http://www.bristol.ac.uk/hr/salaries</vt:lpwstr>
      </vt:variant>
      <vt:variant>
        <vt:lpwstr/>
      </vt:variant>
      <vt:variant>
        <vt:i4>1835061</vt:i4>
      </vt:variant>
      <vt:variant>
        <vt:i4>128</vt:i4>
      </vt:variant>
      <vt:variant>
        <vt:i4>0</vt:i4>
      </vt:variant>
      <vt:variant>
        <vt:i4>5</vt:i4>
      </vt:variant>
      <vt:variant>
        <vt:lpwstr/>
      </vt:variant>
      <vt:variant>
        <vt:lpwstr>_Toc176339165</vt:lpwstr>
      </vt:variant>
      <vt:variant>
        <vt:i4>1835061</vt:i4>
      </vt:variant>
      <vt:variant>
        <vt:i4>122</vt:i4>
      </vt:variant>
      <vt:variant>
        <vt:i4>0</vt:i4>
      </vt:variant>
      <vt:variant>
        <vt:i4>5</vt:i4>
      </vt:variant>
      <vt:variant>
        <vt:lpwstr/>
      </vt:variant>
      <vt:variant>
        <vt:lpwstr>_Toc176339164</vt:lpwstr>
      </vt:variant>
      <vt:variant>
        <vt:i4>1835061</vt:i4>
      </vt:variant>
      <vt:variant>
        <vt:i4>116</vt:i4>
      </vt:variant>
      <vt:variant>
        <vt:i4>0</vt:i4>
      </vt:variant>
      <vt:variant>
        <vt:i4>5</vt:i4>
      </vt:variant>
      <vt:variant>
        <vt:lpwstr/>
      </vt:variant>
      <vt:variant>
        <vt:lpwstr>_Toc176339163</vt:lpwstr>
      </vt:variant>
      <vt:variant>
        <vt:i4>1835061</vt:i4>
      </vt:variant>
      <vt:variant>
        <vt:i4>110</vt:i4>
      </vt:variant>
      <vt:variant>
        <vt:i4>0</vt:i4>
      </vt:variant>
      <vt:variant>
        <vt:i4>5</vt:i4>
      </vt:variant>
      <vt:variant>
        <vt:lpwstr/>
      </vt:variant>
      <vt:variant>
        <vt:lpwstr>_Toc176339162</vt:lpwstr>
      </vt:variant>
      <vt:variant>
        <vt:i4>1835061</vt:i4>
      </vt:variant>
      <vt:variant>
        <vt:i4>104</vt:i4>
      </vt:variant>
      <vt:variant>
        <vt:i4>0</vt:i4>
      </vt:variant>
      <vt:variant>
        <vt:i4>5</vt:i4>
      </vt:variant>
      <vt:variant>
        <vt:lpwstr/>
      </vt:variant>
      <vt:variant>
        <vt:lpwstr>_Toc176339161</vt:lpwstr>
      </vt:variant>
      <vt:variant>
        <vt:i4>1835061</vt:i4>
      </vt:variant>
      <vt:variant>
        <vt:i4>98</vt:i4>
      </vt:variant>
      <vt:variant>
        <vt:i4>0</vt:i4>
      </vt:variant>
      <vt:variant>
        <vt:i4>5</vt:i4>
      </vt:variant>
      <vt:variant>
        <vt:lpwstr/>
      </vt:variant>
      <vt:variant>
        <vt:lpwstr>_Toc176339160</vt:lpwstr>
      </vt:variant>
      <vt:variant>
        <vt:i4>2031669</vt:i4>
      </vt:variant>
      <vt:variant>
        <vt:i4>92</vt:i4>
      </vt:variant>
      <vt:variant>
        <vt:i4>0</vt:i4>
      </vt:variant>
      <vt:variant>
        <vt:i4>5</vt:i4>
      </vt:variant>
      <vt:variant>
        <vt:lpwstr/>
      </vt:variant>
      <vt:variant>
        <vt:lpwstr>_Toc176339159</vt:lpwstr>
      </vt:variant>
      <vt:variant>
        <vt:i4>2031669</vt:i4>
      </vt:variant>
      <vt:variant>
        <vt:i4>86</vt:i4>
      </vt:variant>
      <vt:variant>
        <vt:i4>0</vt:i4>
      </vt:variant>
      <vt:variant>
        <vt:i4>5</vt:i4>
      </vt:variant>
      <vt:variant>
        <vt:lpwstr/>
      </vt:variant>
      <vt:variant>
        <vt:lpwstr>_Toc176339158</vt:lpwstr>
      </vt:variant>
      <vt:variant>
        <vt:i4>2031669</vt:i4>
      </vt:variant>
      <vt:variant>
        <vt:i4>80</vt:i4>
      </vt:variant>
      <vt:variant>
        <vt:i4>0</vt:i4>
      </vt:variant>
      <vt:variant>
        <vt:i4>5</vt:i4>
      </vt:variant>
      <vt:variant>
        <vt:lpwstr/>
      </vt:variant>
      <vt:variant>
        <vt:lpwstr>_Toc176339157</vt:lpwstr>
      </vt:variant>
      <vt:variant>
        <vt:i4>2031669</vt:i4>
      </vt:variant>
      <vt:variant>
        <vt:i4>74</vt:i4>
      </vt:variant>
      <vt:variant>
        <vt:i4>0</vt:i4>
      </vt:variant>
      <vt:variant>
        <vt:i4>5</vt:i4>
      </vt:variant>
      <vt:variant>
        <vt:lpwstr/>
      </vt:variant>
      <vt:variant>
        <vt:lpwstr>_Toc176339156</vt:lpwstr>
      </vt:variant>
      <vt:variant>
        <vt:i4>2031669</vt:i4>
      </vt:variant>
      <vt:variant>
        <vt:i4>68</vt:i4>
      </vt:variant>
      <vt:variant>
        <vt:i4>0</vt:i4>
      </vt:variant>
      <vt:variant>
        <vt:i4>5</vt:i4>
      </vt:variant>
      <vt:variant>
        <vt:lpwstr/>
      </vt:variant>
      <vt:variant>
        <vt:lpwstr>_Toc176339155</vt:lpwstr>
      </vt:variant>
      <vt:variant>
        <vt:i4>2031669</vt:i4>
      </vt:variant>
      <vt:variant>
        <vt:i4>62</vt:i4>
      </vt:variant>
      <vt:variant>
        <vt:i4>0</vt:i4>
      </vt:variant>
      <vt:variant>
        <vt:i4>5</vt:i4>
      </vt:variant>
      <vt:variant>
        <vt:lpwstr/>
      </vt:variant>
      <vt:variant>
        <vt:lpwstr>_Toc176339154</vt:lpwstr>
      </vt:variant>
      <vt:variant>
        <vt:i4>2031669</vt:i4>
      </vt:variant>
      <vt:variant>
        <vt:i4>56</vt:i4>
      </vt:variant>
      <vt:variant>
        <vt:i4>0</vt:i4>
      </vt:variant>
      <vt:variant>
        <vt:i4>5</vt:i4>
      </vt:variant>
      <vt:variant>
        <vt:lpwstr/>
      </vt:variant>
      <vt:variant>
        <vt:lpwstr>_Toc176339153</vt:lpwstr>
      </vt:variant>
      <vt:variant>
        <vt:i4>2031669</vt:i4>
      </vt:variant>
      <vt:variant>
        <vt:i4>50</vt:i4>
      </vt:variant>
      <vt:variant>
        <vt:i4>0</vt:i4>
      </vt:variant>
      <vt:variant>
        <vt:i4>5</vt:i4>
      </vt:variant>
      <vt:variant>
        <vt:lpwstr/>
      </vt:variant>
      <vt:variant>
        <vt:lpwstr>_Toc176339152</vt:lpwstr>
      </vt:variant>
      <vt:variant>
        <vt:i4>2031669</vt:i4>
      </vt:variant>
      <vt:variant>
        <vt:i4>44</vt:i4>
      </vt:variant>
      <vt:variant>
        <vt:i4>0</vt:i4>
      </vt:variant>
      <vt:variant>
        <vt:i4>5</vt:i4>
      </vt:variant>
      <vt:variant>
        <vt:lpwstr/>
      </vt:variant>
      <vt:variant>
        <vt:lpwstr>_Toc176339151</vt:lpwstr>
      </vt:variant>
      <vt:variant>
        <vt:i4>2031669</vt:i4>
      </vt:variant>
      <vt:variant>
        <vt:i4>38</vt:i4>
      </vt:variant>
      <vt:variant>
        <vt:i4>0</vt:i4>
      </vt:variant>
      <vt:variant>
        <vt:i4>5</vt:i4>
      </vt:variant>
      <vt:variant>
        <vt:lpwstr/>
      </vt:variant>
      <vt:variant>
        <vt:lpwstr>_Toc176339150</vt:lpwstr>
      </vt:variant>
      <vt:variant>
        <vt:i4>1966133</vt:i4>
      </vt:variant>
      <vt:variant>
        <vt:i4>32</vt:i4>
      </vt:variant>
      <vt:variant>
        <vt:i4>0</vt:i4>
      </vt:variant>
      <vt:variant>
        <vt:i4>5</vt:i4>
      </vt:variant>
      <vt:variant>
        <vt:lpwstr/>
      </vt:variant>
      <vt:variant>
        <vt:lpwstr>_Toc176339149</vt:lpwstr>
      </vt:variant>
      <vt:variant>
        <vt:i4>1966133</vt:i4>
      </vt:variant>
      <vt:variant>
        <vt:i4>26</vt:i4>
      </vt:variant>
      <vt:variant>
        <vt:i4>0</vt:i4>
      </vt:variant>
      <vt:variant>
        <vt:i4>5</vt:i4>
      </vt:variant>
      <vt:variant>
        <vt:lpwstr/>
      </vt:variant>
      <vt:variant>
        <vt:lpwstr>_Toc176339148</vt:lpwstr>
      </vt:variant>
      <vt:variant>
        <vt:i4>1966133</vt:i4>
      </vt:variant>
      <vt:variant>
        <vt:i4>20</vt:i4>
      </vt:variant>
      <vt:variant>
        <vt:i4>0</vt:i4>
      </vt:variant>
      <vt:variant>
        <vt:i4>5</vt:i4>
      </vt:variant>
      <vt:variant>
        <vt:lpwstr/>
      </vt:variant>
      <vt:variant>
        <vt:lpwstr>_Toc176339147</vt:lpwstr>
      </vt:variant>
      <vt:variant>
        <vt:i4>1966133</vt:i4>
      </vt:variant>
      <vt:variant>
        <vt:i4>14</vt:i4>
      </vt:variant>
      <vt:variant>
        <vt:i4>0</vt:i4>
      </vt:variant>
      <vt:variant>
        <vt:i4>5</vt:i4>
      </vt:variant>
      <vt:variant>
        <vt:lpwstr/>
      </vt:variant>
      <vt:variant>
        <vt:lpwstr>_Toc176339146</vt:lpwstr>
      </vt:variant>
      <vt:variant>
        <vt:i4>1966133</vt:i4>
      </vt:variant>
      <vt:variant>
        <vt:i4>8</vt:i4>
      </vt:variant>
      <vt:variant>
        <vt:i4>0</vt:i4>
      </vt:variant>
      <vt:variant>
        <vt:i4>5</vt:i4>
      </vt:variant>
      <vt:variant>
        <vt:lpwstr/>
      </vt:variant>
      <vt:variant>
        <vt:lpwstr>_Toc176339145</vt:lpwstr>
      </vt:variant>
      <vt:variant>
        <vt:i4>1966133</vt:i4>
      </vt:variant>
      <vt:variant>
        <vt:i4>2</vt:i4>
      </vt:variant>
      <vt:variant>
        <vt:i4>0</vt:i4>
      </vt:variant>
      <vt:variant>
        <vt:i4>5</vt:i4>
      </vt:variant>
      <vt:variant>
        <vt:lpwstr/>
      </vt:variant>
      <vt:variant>
        <vt:lpwstr>_Toc176339144</vt:lpwstr>
      </vt:variant>
      <vt:variant>
        <vt:i4>1245228</vt:i4>
      </vt:variant>
      <vt:variant>
        <vt:i4>3</vt:i4>
      </vt:variant>
      <vt:variant>
        <vt:i4>0</vt:i4>
      </vt:variant>
      <vt:variant>
        <vt:i4>5</vt:i4>
      </vt:variant>
      <vt:variant>
        <vt:lpwstr>mailto:qz18523@bristol.ac.uk</vt:lpwstr>
      </vt:variant>
      <vt:variant>
        <vt:lpwstr/>
      </vt:variant>
      <vt:variant>
        <vt:i4>1245228</vt:i4>
      </vt:variant>
      <vt:variant>
        <vt:i4>0</vt:i4>
      </vt:variant>
      <vt:variant>
        <vt:i4>0</vt:i4>
      </vt:variant>
      <vt:variant>
        <vt:i4>5</vt:i4>
      </vt:variant>
      <vt:variant>
        <vt:lpwstr>mailto:qz18523@bristol.ac.uk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Alex Wyatt-Barton</cp:lastModifiedBy>
  <cp:revision>34</cp:revision>
  <dcterms:created xsi:type="dcterms:W3CDTF">2024-09-19T09:21:00Z</dcterms:created>
  <dcterms:modified xsi:type="dcterms:W3CDTF">2024-09-25T14:26:00Z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0x010100F54029E5A8F3CE46B900B91AF2CBB686</vt:lpwstr>
  </property>
  <property fmtid="{D5CDD505-2E9C-101B-9397-08002B2CF9AE}" pid="3" name="MediaServiceImageTags">
    <vt:lpwstr/>
  </property>
</Properties>
</file>